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44C9C" w14:textId="77777777" w:rsidR="00F92F0E" w:rsidRPr="00234FA3" w:rsidRDefault="00BD0351" w:rsidP="002F6F36">
      <w:pPr>
        <w:pStyle w:val="Pa3"/>
        <w:spacing w:before="240" w:after="120" w:line="360" w:lineRule="auto"/>
        <w:jc w:val="center"/>
        <w:rPr>
          <w:rFonts w:cs="Arial"/>
          <w:noProof/>
          <w:lang w:val="en-ZA" w:eastAsia="en-ZA"/>
        </w:rPr>
      </w:pPr>
      <w:r>
        <w:rPr>
          <w:noProof/>
        </w:rPr>
        <mc:AlternateContent>
          <mc:Choice Requires="wps">
            <w:drawing>
              <wp:anchor distT="45720" distB="45720" distL="114300" distR="114300" simplePos="0" relativeHeight="251659264" behindDoc="0" locked="0" layoutInCell="1" allowOverlap="1" wp14:anchorId="52C92E8D" wp14:editId="0B0BCBAA">
                <wp:simplePos x="0" y="0"/>
                <wp:positionH relativeFrom="column">
                  <wp:posOffset>3609975</wp:posOffset>
                </wp:positionH>
                <wp:positionV relativeFrom="paragraph">
                  <wp:posOffset>252095</wp:posOffset>
                </wp:positionV>
                <wp:extent cx="2426335" cy="1314450"/>
                <wp:effectExtent l="0" t="0" r="0" b="6350"/>
                <wp:wrapNone/>
                <wp:docPr id="15710226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26335" cy="1314450"/>
                        </a:xfrm>
                        <a:prstGeom prst="rect">
                          <a:avLst/>
                        </a:prstGeom>
                        <a:noFill/>
                        <a:ln w="9525">
                          <a:solidFill>
                            <a:srgbClr val="000000"/>
                          </a:solidFill>
                          <a:miter lim="800000"/>
                          <a:headEnd/>
                          <a:tailEnd/>
                        </a:ln>
                      </wps:spPr>
                      <wps:txbx>
                        <w:txbxContent>
                          <w:p w14:paraId="616D29D2"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cs="Arial"/>
                                <w:sz w:val="20"/>
                              </w:rPr>
                              <w:t xml:space="preserve">Reportable: </w:t>
                            </w:r>
                            <w:r w:rsidR="00234FA3" w:rsidRPr="00234FA3">
                              <w:rPr>
                                <w:rFonts w:ascii="Arial" w:hAnsi="Arial" w:cs="Arial"/>
                                <w:sz w:val="20"/>
                                <w:lang w:val="en-US"/>
                              </w:rPr>
                              <w:t>Yes/No</w:t>
                            </w:r>
                          </w:p>
                          <w:p w14:paraId="33EA3A20"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ascii="Arial" w:hAnsi="Arial" w:cs="Arial"/>
                                <w:sz w:val="20"/>
                                <w:lang w:val="en-US"/>
                              </w:rPr>
                              <w:t>Of interest to other Judges: Yes/No</w:t>
                            </w:r>
                          </w:p>
                          <w:p w14:paraId="3BC4B97D"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ascii="Arial" w:hAnsi="Arial" w:cs="Arial"/>
                                <w:sz w:val="20"/>
                                <w:lang w:val="en-US"/>
                              </w:rPr>
                              <w:t>Revised</w:t>
                            </w:r>
                          </w:p>
                          <w:p w14:paraId="050CBE6A" w14:textId="77777777" w:rsidR="00F92F0E" w:rsidRPr="00234FA3" w:rsidRDefault="00F92F0E" w:rsidP="00F92F0E">
                            <w:pPr>
                              <w:spacing w:after="0" w:line="276" w:lineRule="auto"/>
                              <w:rPr>
                                <w:rFonts w:ascii="Arial" w:hAnsi="Arial" w:cs="Arial"/>
                                <w:sz w:val="20"/>
                                <w:lang w:val="en-US"/>
                              </w:rPr>
                            </w:pPr>
                          </w:p>
                          <w:p w14:paraId="54F19F5B" w14:textId="77777777" w:rsidR="00F92F0E" w:rsidRPr="00234FA3" w:rsidRDefault="00F92F0E" w:rsidP="00F92F0E">
                            <w:pPr>
                              <w:tabs>
                                <w:tab w:val="right" w:pos="3402"/>
                              </w:tabs>
                              <w:spacing w:after="0" w:line="276" w:lineRule="auto"/>
                              <w:rPr>
                                <w:rFonts w:ascii="Arial" w:hAnsi="Arial" w:cs="Arial"/>
                                <w:sz w:val="20"/>
                                <w:lang w:val="en-US"/>
                              </w:rPr>
                            </w:pPr>
                            <w:r w:rsidRPr="00234FA3">
                              <w:rPr>
                                <w:rFonts w:ascii="Arial" w:hAnsi="Arial" w:cs="Arial"/>
                                <w:sz w:val="20"/>
                                <w:lang w:val="en-US"/>
                              </w:rPr>
                              <w:t>____________</w:t>
                            </w:r>
                            <w:r w:rsidRPr="00234FA3">
                              <w:rPr>
                                <w:rFonts w:ascii="Arial" w:hAnsi="Arial" w:cs="Arial"/>
                                <w:sz w:val="20"/>
                                <w:lang w:val="en-US"/>
                              </w:rPr>
                              <w:tab/>
                              <w:t>______________</w:t>
                            </w:r>
                          </w:p>
                          <w:p w14:paraId="547B3E66" w14:textId="77777777" w:rsidR="00F92F0E" w:rsidRPr="00234FA3" w:rsidRDefault="00F92F0E" w:rsidP="00F92F0E">
                            <w:pPr>
                              <w:tabs>
                                <w:tab w:val="right" w:pos="2268"/>
                              </w:tabs>
                              <w:spacing w:after="0" w:line="276" w:lineRule="auto"/>
                              <w:rPr>
                                <w:rFonts w:ascii="Arial" w:hAnsi="Arial" w:cs="Arial"/>
                                <w:sz w:val="20"/>
                              </w:rPr>
                            </w:pPr>
                            <w:r w:rsidRPr="00234FA3">
                              <w:rPr>
                                <w:rFonts w:ascii="Arial" w:hAnsi="Arial" w:cs="Arial"/>
                                <w:sz w:val="20"/>
                                <w:lang w:val="en-US"/>
                              </w:rPr>
                              <w:t xml:space="preserve">Signature </w:t>
                            </w:r>
                            <w:r w:rsidRPr="00234FA3">
                              <w:rPr>
                                <w:rFonts w:ascii="Arial" w:hAnsi="Arial" w:cs="Arial"/>
                                <w:sz w:val="20"/>
                                <w:lang w:val="en-US"/>
                              </w:rPr>
                              <w:tab/>
                              <w:t>Date</w:t>
                            </w:r>
                          </w:p>
                          <w:p w14:paraId="1715AED1" w14:textId="77777777" w:rsidR="00F92F0E" w:rsidRPr="00234FA3" w:rsidRDefault="00F92F0E" w:rsidP="00F92F0E">
                            <w:pPr>
                              <w:spacing w:after="0" w:line="276" w:lineRule="auto"/>
                              <w:rPr>
                                <w:rFonts w:ascii="Arial" w:hAnsi="Arial" w:cs="Arial"/>
                                <w:sz w:val="20"/>
                                <w:lang w:val="en-US"/>
                              </w:rPr>
                            </w:pPr>
                            <w:r w:rsidRPr="00234FA3">
                              <w:rPr>
                                <w:rFonts w:ascii="Arial" w:hAnsi="Arial" w:cs="Arial"/>
                                <w:sz w:val="20"/>
                                <w:lang w:val="en-US"/>
                              </w:rPr>
                              <w:tab/>
                            </w:r>
                            <w:r w:rsidRPr="00234FA3">
                              <w:rPr>
                                <w:rFonts w:ascii="Arial" w:hAnsi="Arial" w:cs="Arial"/>
                                <w:sz w:val="20"/>
                                <w:lang w:val="en-US"/>
                              </w:rPr>
                              <w:tab/>
                            </w:r>
                            <w:r w:rsidRPr="00234FA3">
                              <w:rPr>
                                <w:rFonts w:ascii="Arial" w:hAnsi="Arial" w:cs="Arial"/>
                                <w:sz w:val="20"/>
                                <w:lang w:val="en-US"/>
                              </w:rPr>
                              <w:tab/>
                            </w:r>
                          </w:p>
                          <w:p w14:paraId="35E040A6" w14:textId="77777777" w:rsidR="00F92F0E" w:rsidRPr="00234FA3" w:rsidRDefault="00F92F0E" w:rsidP="00F92F0E">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E8D" id="_x0000_t202" coordsize="21600,21600" o:spt="202" path="m,l,21600r21600,l21600,xe">
                <v:stroke joinstyle="miter"/>
                <v:path gradientshapeok="t" o:connecttype="rect"/>
              </v:shapetype>
              <v:shape id="Text Box 1" o:spid="_x0000_s1026" type="#_x0000_t202" style="position:absolute;left:0;text-align:left;margin-left:284.25pt;margin-top:19.85pt;width:191.05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" filled="f">
                <v:path arrowok="t"/>
                <v:textbox>
                  <w:txbxContent>
                    <w:p w14:paraId="616D29D2"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cs="Arial"/>
                          <w:sz w:val="20"/>
                        </w:rPr>
                        <w:t xml:space="preserve">Reportable: </w:t>
                      </w:r>
                      <w:r w:rsidR="00234FA3" w:rsidRPr="00234FA3">
                        <w:rPr>
                          <w:rFonts w:ascii="Arial" w:hAnsi="Arial" w:cs="Arial"/>
                          <w:sz w:val="20"/>
                          <w:lang w:val="en-US"/>
                        </w:rPr>
                        <w:t>Yes/No</w:t>
                      </w:r>
                    </w:p>
                    <w:p w14:paraId="33EA3A20"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ascii="Arial" w:hAnsi="Arial" w:cs="Arial"/>
                          <w:sz w:val="20"/>
                          <w:lang w:val="en-US"/>
                        </w:rPr>
                        <w:t>Of interest to other Judges: Yes/No</w:t>
                      </w:r>
                    </w:p>
                    <w:p w14:paraId="3BC4B97D" w14:textId="77777777" w:rsidR="00F92F0E" w:rsidRPr="00234FA3" w:rsidRDefault="00F92F0E" w:rsidP="00075473">
                      <w:pPr>
                        <w:numPr>
                          <w:ilvl w:val="0"/>
                          <w:numId w:val="3"/>
                        </w:numPr>
                        <w:spacing w:after="0" w:line="276" w:lineRule="auto"/>
                        <w:ind w:left="357" w:hanging="357"/>
                        <w:rPr>
                          <w:rFonts w:ascii="Arial" w:hAnsi="Arial" w:cs="Arial"/>
                          <w:sz w:val="20"/>
                        </w:rPr>
                      </w:pPr>
                      <w:r w:rsidRPr="00234FA3">
                        <w:rPr>
                          <w:rFonts w:ascii="Arial" w:hAnsi="Arial" w:cs="Arial"/>
                          <w:sz w:val="20"/>
                          <w:lang w:val="en-US"/>
                        </w:rPr>
                        <w:t>Revised</w:t>
                      </w:r>
                    </w:p>
                    <w:p w14:paraId="050CBE6A" w14:textId="77777777" w:rsidR="00F92F0E" w:rsidRPr="00234FA3" w:rsidRDefault="00F92F0E" w:rsidP="00F92F0E">
                      <w:pPr>
                        <w:spacing w:after="0" w:line="276" w:lineRule="auto"/>
                        <w:rPr>
                          <w:rFonts w:ascii="Arial" w:hAnsi="Arial" w:cs="Arial"/>
                          <w:sz w:val="20"/>
                          <w:lang w:val="en-US"/>
                        </w:rPr>
                      </w:pPr>
                    </w:p>
                    <w:p w14:paraId="54F19F5B" w14:textId="77777777" w:rsidR="00F92F0E" w:rsidRPr="00234FA3" w:rsidRDefault="00F92F0E" w:rsidP="00F92F0E">
                      <w:pPr>
                        <w:tabs>
                          <w:tab w:val="right" w:pos="3402"/>
                        </w:tabs>
                        <w:spacing w:after="0" w:line="276" w:lineRule="auto"/>
                        <w:rPr>
                          <w:rFonts w:ascii="Arial" w:hAnsi="Arial" w:cs="Arial"/>
                          <w:sz w:val="20"/>
                          <w:lang w:val="en-US"/>
                        </w:rPr>
                      </w:pPr>
                      <w:r w:rsidRPr="00234FA3">
                        <w:rPr>
                          <w:rFonts w:ascii="Arial" w:hAnsi="Arial" w:cs="Arial"/>
                          <w:sz w:val="20"/>
                          <w:lang w:val="en-US"/>
                        </w:rPr>
                        <w:t>____________</w:t>
                      </w:r>
                      <w:r w:rsidRPr="00234FA3">
                        <w:rPr>
                          <w:rFonts w:ascii="Arial" w:hAnsi="Arial" w:cs="Arial"/>
                          <w:sz w:val="20"/>
                          <w:lang w:val="en-US"/>
                        </w:rPr>
                        <w:tab/>
                        <w:t>______________</w:t>
                      </w:r>
                    </w:p>
                    <w:p w14:paraId="547B3E66" w14:textId="77777777" w:rsidR="00F92F0E" w:rsidRPr="00234FA3" w:rsidRDefault="00F92F0E" w:rsidP="00F92F0E">
                      <w:pPr>
                        <w:tabs>
                          <w:tab w:val="right" w:pos="2268"/>
                        </w:tabs>
                        <w:spacing w:after="0" w:line="276" w:lineRule="auto"/>
                        <w:rPr>
                          <w:rFonts w:ascii="Arial" w:hAnsi="Arial" w:cs="Arial"/>
                          <w:sz w:val="20"/>
                        </w:rPr>
                      </w:pPr>
                      <w:r w:rsidRPr="00234FA3">
                        <w:rPr>
                          <w:rFonts w:ascii="Arial" w:hAnsi="Arial" w:cs="Arial"/>
                          <w:sz w:val="20"/>
                          <w:lang w:val="en-US"/>
                        </w:rPr>
                        <w:t xml:space="preserve">Signature </w:t>
                      </w:r>
                      <w:r w:rsidRPr="00234FA3">
                        <w:rPr>
                          <w:rFonts w:ascii="Arial" w:hAnsi="Arial" w:cs="Arial"/>
                          <w:sz w:val="20"/>
                          <w:lang w:val="en-US"/>
                        </w:rPr>
                        <w:tab/>
                        <w:t>Date</w:t>
                      </w:r>
                    </w:p>
                    <w:p w14:paraId="1715AED1" w14:textId="77777777" w:rsidR="00F92F0E" w:rsidRPr="00234FA3" w:rsidRDefault="00F92F0E" w:rsidP="00F92F0E">
                      <w:pPr>
                        <w:spacing w:after="0" w:line="276" w:lineRule="auto"/>
                        <w:rPr>
                          <w:rFonts w:ascii="Arial" w:hAnsi="Arial" w:cs="Arial"/>
                          <w:sz w:val="20"/>
                          <w:lang w:val="en-US"/>
                        </w:rPr>
                      </w:pPr>
                      <w:r w:rsidRPr="00234FA3">
                        <w:rPr>
                          <w:rFonts w:ascii="Arial" w:hAnsi="Arial" w:cs="Arial"/>
                          <w:sz w:val="20"/>
                          <w:lang w:val="en-US"/>
                        </w:rPr>
                        <w:tab/>
                      </w:r>
                      <w:r w:rsidRPr="00234FA3">
                        <w:rPr>
                          <w:rFonts w:ascii="Arial" w:hAnsi="Arial" w:cs="Arial"/>
                          <w:sz w:val="20"/>
                          <w:lang w:val="en-US"/>
                        </w:rPr>
                        <w:tab/>
                      </w:r>
                      <w:r w:rsidRPr="00234FA3">
                        <w:rPr>
                          <w:rFonts w:ascii="Arial" w:hAnsi="Arial" w:cs="Arial"/>
                          <w:sz w:val="20"/>
                          <w:lang w:val="en-US"/>
                        </w:rPr>
                        <w:tab/>
                      </w:r>
                    </w:p>
                    <w:p w14:paraId="35E040A6" w14:textId="77777777" w:rsidR="00F92F0E" w:rsidRPr="00234FA3" w:rsidRDefault="00F92F0E" w:rsidP="00F92F0E">
                      <w:pPr>
                        <w:rPr>
                          <w:rFonts w:ascii="Arial" w:hAnsi="Arial" w:cs="Arial"/>
                        </w:rPr>
                      </w:pPr>
                    </w:p>
                  </w:txbxContent>
                </v:textbox>
              </v:shape>
            </w:pict>
          </mc:Fallback>
        </mc:AlternateContent>
      </w:r>
      <w:r w:rsidR="00A75413" w:rsidRPr="00A75413">
        <w:rPr>
          <w:rFonts w:cs="Arial"/>
          <w:noProof/>
          <w:lang w:val="en-ZA" w:eastAsia="en-ZA"/>
        </w:rPr>
        <w:drawing>
          <wp:inline distT="0" distB="0" distL="0" distR="0" wp14:anchorId="5E90F692" wp14:editId="7A50399E">
            <wp:extent cx="1073150" cy="14274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1427480"/>
                    </a:xfrm>
                    <a:prstGeom prst="rect">
                      <a:avLst/>
                    </a:prstGeom>
                    <a:noFill/>
                    <a:ln>
                      <a:noFill/>
                    </a:ln>
                  </pic:spPr>
                </pic:pic>
              </a:graphicData>
            </a:graphic>
          </wp:inline>
        </w:drawing>
      </w:r>
    </w:p>
    <w:p w14:paraId="2C3BD204" w14:textId="77777777" w:rsidR="00EC48FA" w:rsidRPr="00234FA3" w:rsidRDefault="00EC48FA" w:rsidP="00234FA3">
      <w:pPr>
        <w:spacing w:before="240" w:after="120" w:line="360" w:lineRule="auto"/>
        <w:jc w:val="center"/>
        <w:rPr>
          <w:rFonts w:ascii="Arial" w:hAnsi="Arial" w:cs="Arial"/>
          <w:b/>
        </w:rPr>
      </w:pPr>
      <w:r w:rsidRPr="00234FA3">
        <w:rPr>
          <w:rFonts w:ascii="Arial" w:hAnsi="Arial" w:cs="Arial"/>
          <w:b/>
        </w:rPr>
        <w:t>THE LABOUR APPEAL COURT OF SOUTH AFRICA, JOHANNESBURG</w:t>
      </w:r>
    </w:p>
    <w:p w14:paraId="0DF4B906" w14:textId="77777777" w:rsidR="00D04803" w:rsidRPr="00234FA3" w:rsidRDefault="00D04803" w:rsidP="00234FA3">
      <w:pPr>
        <w:spacing w:before="240" w:after="120" w:line="360" w:lineRule="auto"/>
        <w:jc w:val="right"/>
        <w:rPr>
          <w:rFonts w:ascii="Arial" w:hAnsi="Arial" w:cs="Arial"/>
          <w:bCs/>
          <w:color w:val="FFFFFF" w:themeColor="background1"/>
        </w:rPr>
      </w:pPr>
      <w:r w:rsidRPr="00234FA3">
        <w:rPr>
          <w:rFonts w:ascii="Arial" w:hAnsi="Arial" w:cs="Arial"/>
          <w:bCs/>
        </w:rPr>
        <w:t>Case No: JA 124/24</w:t>
      </w:r>
    </w:p>
    <w:p w14:paraId="006ADF4B" w14:textId="77777777" w:rsidR="00D04803" w:rsidRPr="00234FA3" w:rsidRDefault="00D04803" w:rsidP="00234FA3">
      <w:pPr>
        <w:spacing w:before="240" w:after="120" w:line="360" w:lineRule="auto"/>
        <w:jc w:val="both"/>
        <w:rPr>
          <w:rFonts w:ascii="Arial" w:hAnsi="Arial" w:cs="Arial"/>
          <w:bCs/>
        </w:rPr>
      </w:pPr>
      <w:r w:rsidRPr="00234FA3">
        <w:rPr>
          <w:rFonts w:ascii="Arial" w:hAnsi="Arial" w:cs="Arial"/>
          <w:bCs/>
        </w:rPr>
        <w:t>In the matter between:</w:t>
      </w:r>
    </w:p>
    <w:p w14:paraId="1F04F7FF" w14:textId="77777777" w:rsidR="00D04803" w:rsidRPr="00234FA3" w:rsidRDefault="00D04803" w:rsidP="00234FA3">
      <w:pPr>
        <w:spacing w:before="240" w:after="120" w:line="360" w:lineRule="auto"/>
        <w:ind w:right="-46"/>
        <w:jc w:val="both"/>
        <w:rPr>
          <w:rFonts w:ascii="Arial" w:hAnsi="Arial" w:cs="Arial"/>
          <w:b/>
        </w:rPr>
      </w:pPr>
      <w:r w:rsidRPr="00234FA3">
        <w:rPr>
          <w:rFonts w:ascii="Arial" w:hAnsi="Arial" w:cs="Arial"/>
          <w:b/>
        </w:rPr>
        <w:t xml:space="preserve">WBHO CONSTRUCTION (PTY) LIMITED       </w:t>
      </w:r>
      <w:r w:rsidRPr="00234FA3">
        <w:rPr>
          <w:rFonts w:ascii="Arial" w:hAnsi="Arial" w:cs="Arial"/>
          <w:b/>
        </w:rPr>
        <w:tab/>
      </w:r>
      <w:r w:rsidRPr="00234FA3">
        <w:rPr>
          <w:rFonts w:ascii="Arial" w:hAnsi="Arial" w:cs="Arial"/>
          <w:b/>
        </w:rPr>
        <w:tab/>
      </w:r>
      <w:r w:rsidRPr="00234FA3">
        <w:rPr>
          <w:rFonts w:ascii="Arial" w:hAnsi="Arial" w:cs="Arial"/>
          <w:b/>
        </w:rPr>
        <w:tab/>
        <w:t xml:space="preserve">          </w:t>
      </w:r>
      <w:r w:rsidR="00A46801" w:rsidRPr="00234FA3">
        <w:rPr>
          <w:rFonts w:ascii="Arial" w:hAnsi="Arial" w:cs="Arial"/>
          <w:b/>
        </w:rPr>
        <w:t xml:space="preserve">            </w:t>
      </w:r>
      <w:r w:rsidRPr="00234FA3">
        <w:rPr>
          <w:rFonts w:ascii="Arial" w:hAnsi="Arial" w:cs="Arial"/>
          <w:b/>
        </w:rPr>
        <w:t>Appellant</w:t>
      </w:r>
    </w:p>
    <w:p w14:paraId="1CAAAA83" w14:textId="77777777" w:rsidR="00D04803" w:rsidRPr="00234FA3" w:rsidRDefault="00D04803" w:rsidP="00234FA3">
      <w:pPr>
        <w:spacing w:before="240" w:after="120" w:line="360" w:lineRule="auto"/>
        <w:jc w:val="both"/>
        <w:rPr>
          <w:rFonts w:ascii="Arial" w:hAnsi="Arial" w:cs="Arial"/>
          <w:bCs/>
        </w:rPr>
      </w:pPr>
      <w:r w:rsidRPr="00234FA3">
        <w:rPr>
          <w:rFonts w:ascii="Arial" w:hAnsi="Arial" w:cs="Arial"/>
          <w:bCs/>
        </w:rPr>
        <w:t>and</w:t>
      </w:r>
    </w:p>
    <w:p w14:paraId="5A5C1D65" w14:textId="77777777" w:rsidR="00D04803" w:rsidRPr="00234FA3" w:rsidRDefault="00D04803" w:rsidP="00234FA3">
      <w:pPr>
        <w:spacing w:before="240" w:after="120" w:line="360" w:lineRule="auto"/>
        <w:jc w:val="both"/>
        <w:rPr>
          <w:rFonts w:ascii="Arial" w:hAnsi="Arial" w:cs="Arial"/>
          <w:b/>
        </w:rPr>
      </w:pPr>
      <w:r w:rsidRPr="00234FA3">
        <w:rPr>
          <w:rFonts w:ascii="Arial" w:hAnsi="Arial" w:cs="Arial"/>
          <w:b/>
        </w:rPr>
        <w:t>DIDA MASENYE N. O</w:t>
      </w:r>
      <w:r w:rsidRPr="00234FA3">
        <w:rPr>
          <w:rFonts w:ascii="Arial" w:hAnsi="Arial" w:cs="Arial"/>
          <w:b/>
        </w:rPr>
        <w:tab/>
      </w:r>
      <w:r w:rsidRPr="00234FA3">
        <w:rPr>
          <w:rFonts w:ascii="Arial" w:hAnsi="Arial" w:cs="Arial"/>
          <w:b/>
        </w:rPr>
        <w:tab/>
      </w:r>
      <w:r w:rsidRPr="00234FA3">
        <w:rPr>
          <w:rFonts w:ascii="Arial" w:hAnsi="Arial" w:cs="Arial"/>
          <w:b/>
        </w:rPr>
        <w:tab/>
      </w:r>
      <w:r w:rsidRPr="00234FA3">
        <w:rPr>
          <w:rFonts w:ascii="Arial" w:hAnsi="Arial" w:cs="Arial"/>
          <w:b/>
        </w:rPr>
        <w:tab/>
      </w:r>
      <w:r w:rsidRPr="00234FA3">
        <w:rPr>
          <w:rFonts w:ascii="Arial" w:hAnsi="Arial" w:cs="Arial"/>
          <w:b/>
        </w:rPr>
        <w:tab/>
      </w:r>
      <w:r w:rsidRPr="00234FA3">
        <w:rPr>
          <w:rFonts w:ascii="Arial" w:hAnsi="Arial" w:cs="Arial"/>
          <w:b/>
        </w:rPr>
        <w:tab/>
        <w:t xml:space="preserve">        First Respondent THE BARGAINING COUNCIL FOR THE CIVIL</w:t>
      </w:r>
    </w:p>
    <w:p w14:paraId="1AE09DEC" w14:textId="77777777" w:rsidR="00D04803" w:rsidRPr="00234FA3" w:rsidRDefault="00D04803" w:rsidP="00234FA3">
      <w:pPr>
        <w:spacing w:before="240" w:after="120" w:line="360" w:lineRule="auto"/>
        <w:jc w:val="both"/>
        <w:rPr>
          <w:rFonts w:ascii="Arial" w:hAnsi="Arial" w:cs="Arial"/>
          <w:b/>
        </w:rPr>
      </w:pPr>
      <w:r w:rsidRPr="00234FA3">
        <w:rPr>
          <w:rFonts w:ascii="Arial" w:hAnsi="Arial" w:cs="Arial"/>
          <w:b/>
        </w:rPr>
        <w:t xml:space="preserve"> ENGINEERING INDUSTRY (BCCEI)                                        Second Respondent</w:t>
      </w:r>
    </w:p>
    <w:p w14:paraId="36172A05" w14:textId="77777777" w:rsidR="00D04803" w:rsidRPr="00234FA3" w:rsidRDefault="00D04803" w:rsidP="00234FA3">
      <w:pPr>
        <w:spacing w:before="240" w:after="120" w:line="360" w:lineRule="auto"/>
        <w:ind w:right="-46"/>
        <w:jc w:val="both"/>
        <w:rPr>
          <w:rFonts w:ascii="Arial" w:hAnsi="Arial" w:cs="Arial"/>
          <w:b/>
        </w:rPr>
      </w:pPr>
      <w:r w:rsidRPr="00234FA3">
        <w:rPr>
          <w:rFonts w:ascii="Arial" w:hAnsi="Arial" w:cs="Arial"/>
          <w:b/>
        </w:rPr>
        <w:t xml:space="preserve">MASWANGWANDILE MDAYI                                                    </w:t>
      </w:r>
      <w:r w:rsidR="00A46801" w:rsidRPr="00234FA3">
        <w:rPr>
          <w:rFonts w:ascii="Arial" w:hAnsi="Arial" w:cs="Arial"/>
          <w:b/>
        </w:rPr>
        <w:t xml:space="preserve">     </w:t>
      </w:r>
      <w:r w:rsidRPr="00234FA3">
        <w:rPr>
          <w:rFonts w:ascii="Arial" w:hAnsi="Arial" w:cs="Arial"/>
          <w:b/>
        </w:rPr>
        <w:t>Third Respondent</w:t>
      </w:r>
    </w:p>
    <w:p w14:paraId="31B3E001" w14:textId="77777777" w:rsidR="00185FF0" w:rsidRDefault="00E15B4A" w:rsidP="00185FF0">
      <w:pPr>
        <w:spacing w:after="120" w:line="360" w:lineRule="auto"/>
        <w:jc w:val="both"/>
        <w:rPr>
          <w:rFonts w:ascii="Arial" w:hAnsi="Arial" w:cs="Arial"/>
          <w:b/>
          <w:bCs/>
        </w:rPr>
      </w:pPr>
      <w:r w:rsidRPr="00234FA3">
        <w:rPr>
          <w:rFonts w:ascii="Arial" w:hAnsi="Arial" w:cs="Arial"/>
          <w:b/>
          <w:bCs/>
        </w:rPr>
        <w:t>This judgment was handed down electronically by circulation to the parties’ representatives by email, published on the Labour Appeal Court website, and released to SAFLII. The date and time for hand-down is deemed to be on</w:t>
      </w:r>
    </w:p>
    <w:p w14:paraId="5CA54633" w14:textId="77777777" w:rsidR="00E15B4A" w:rsidRPr="00234FA3" w:rsidRDefault="00185FF0" w:rsidP="00185FF0">
      <w:pPr>
        <w:spacing w:after="120" w:line="360" w:lineRule="auto"/>
        <w:jc w:val="both"/>
        <w:rPr>
          <w:rFonts w:ascii="Arial" w:hAnsi="Arial" w:cs="Arial"/>
          <w:b/>
          <w:bCs/>
        </w:rPr>
      </w:pPr>
      <w:r>
        <w:rPr>
          <w:rFonts w:ascii="Arial" w:hAnsi="Arial" w:cs="Arial"/>
          <w:b/>
          <w:bCs/>
        </w:rPr>
        <w:t>26 February 2026</w:t>
      </w:r>
    </w:p>
    <w:p w14:paraId="4B830970" w14:textId="77777777" w:rsidR="00D04803" w:rsidRPr="00234FA3" w:rsidRDefault="00D04803" w:rsidP="00234FA3">
      <w:pPr>
        <w:spacing w:before="240" w:after="120" w:line="360" w:lineRule="auto"/>
        <w:jc w:val="both"/>
        <w:rPr>
          <w:rFonts w:ascii="Arial" w:hAnsi="Arial" w:cs="Arial"/>
          <w:b/>
          <w:bCs/>
        </w:rPr>
      </w:pPr>
      <w:r w:rsidRPr="00234FA3">
        <w:rPr>
          <w:rFonts w:ascii="Arial" w:hAnsi="Arial" w:cs="Arial"/>
          <w:b/>
        </w:rPr>
        <w:t>Heard:</w:t>
      </w:r>
      <w:r w:rsidR="002F6F36">
        <w:rPr>
          <w:rFonts w:ascii="Arial" w:hAnsi="Arial" w:cs="Arial"/>
          <w:b/>
        </w:rPr>
        <w:tab/>
        <w:t>13 November 2025</w:t>
      </w:r>
      <w:r w:rsidRPr="00234FA3">
        <w:rPr>
          <w:rFonts w:ascii="Arial" w:hAnsi="Arial" w:cs="Arial"/>
        </w:rPr>
        <w:tab/>
      </w:r>
    </w:p>
    <w:p w14:paraId="7D0DF1A3" w14:textId="77777777" w:rsidR="00D04803" w:rsidRPr="00234FA3" w:rsidRDefault="00E15B4A" w:rsidP="00234FA3">
      <w:pPr>
        <w:spacing w:before="240" w:after="120" w:line="360" w:lineRule="auto"/>
        <w:jc w:val="both"/>
        <w:rPr>
          <w:rFonts w:ascii="Arial" w:hAnsi="Arial" w:cs="Arial"/>
          <w:b/>
          <w:bCs/>
        </w:rPr>
      </w:pPr>
      <w:r w:rsidRPr="00234FA3">
        <w:rPr>
          <w:rFonts w:ascii="Arial" w:hAnsi="Arial" w:cs="Arial"/>
          <w:b/>
          <w:bCs/>
        </w:rPr>
        <w:t xml:space="preserve">Coram: </w:t>
      </w:r>
      <w:r w:rsidR="00D04803" w:rsidRPr="00234FA3">
        <w:rPr>
          <w:rFonts w:ascii="Arial" w:hAnsi="Arial" w:cs="Arial"/>
          <w:b/>
          <w:bCs/>
        </w:rPr>
        <w:tab/>
      </w:r>
      <w:r w:rsidR="00B214BB" w:rsidRPr="00234FA3">
        <w:rPr>
          <w:rFonts w:ascii="Arial" w:hAnsi="Arial" w:cs="Arial"/>
          <w:b/>
          <w:bCs/>
          <w:color w:val="000000" w:themeColor="text1"/>
          <w:lang w:val="en-GB"/>
        </w:rPr>
        <w:t>Mahalelo ADJP and Waglay AJA</w:t>
      </w:r>
      <w:r w:rsidR="00E44E46" w:rsidRPr="00234FA3">
        <w:rPr>
          <w:rFonts w:ascii="Arial" w:hAnsi="Arial" w:cs="Arial"/>
          <w:b/>
          <w:bCs/>
          <w:color w:val="000000" w:themeColor="text1"/>
          <w:lang w:val="en-GB"/>
        </w:rPr>
        <w:t xml:space="preserve"> </w:t>
      </w:r>
      <w:r w:rsidR="00E44E46" w:rsidRPr="00234FA3">
        <w:rPr>
          <w:rFonts w:ascii="Arial" w:hAnsi="Arial" w:cs="Arial"/>
          <w:b/>
          <w:bCs/>
          <w:i/>
          <w:iCs/>
          <w:color w:val="000000" w:themeColor="text1"/>
          <w:lang w:val="en-GB"/>
        </w:rPr>
        <w:t>et</w:t>
      </w:r>
      <w:r w:rsidR="00330317" w:rsidRPr="00234FA3">
        <w:rPr>
          <w:rFonts w:ascii="Arial" w:hAnsi="Arial" w:cs="Arial"/>
          <w:b/>
          <w:bCs/>
          <w:color w:val="000000" w:themeColor="text1"/>
          <w:lang w:val="en-GB"/>
        </w:rPr>
        <w:t xml:space="preserve"> Djaje AJA</w:t>
      </w:r>
    </w:p>
    <w:p w14:paraId="1AFC0642" w14:textId="77777777" w:rsidR="00234FA3" w:rsidRPr="00234FA3" w:rsidRDefault="00234FA3" w:rsidP="00234FA3">
      <w:pPr>
        <w:pBdr>
          <w:top w:val="single" w:sz="12" w:space="1" w:color="auto"/>
        </w:pBdr>
        <w:spacing w:before="240" w:after="120" w:line="360" w:lineRule="auto"/>
        <w:jc w:val="both"/>
        <w:rPr>
          <w:rFonts w:ascii="Arial" w:hAnsi="Arial" w:cs="Arial"/>
        </w:rPr>
      </w:pPr>
    </w:p>
    <w:p w14:paraId="5188D82F" w14:textId="77777777" w:rsidR="00D04803" w:rsidRPr="00234FA3" w:rsidRDefault="00D04803" w:rsidP="00234FA3">
      <w:pPr>
        <w:spacing w:before="240" w:after="120" w:line="360" w:lineRule="auto"/>
        <w:jc w:val="center"/>
        <w:rPr>
          <w:rFonts w:ascii="Arial" w:hAnsi="Arial" w:cs="Arial"/>
          <w:b/>
        </w:rPr>
      </w:pPr>
      <w:r w:rsidRPr="00234FA3">
        <w:rPr>
          <w:rFonts w:ascii="Arial" w:hAnsi="Arial" w:cs="Arial"/>
          <w:b/>
        </w:rPr>
        <w:t>JUDGMENT</w:t>
      </w:r>
    </w:p>
    <w:p w14:paraId="09DA647C" w14:textId="77777777" w:rsidR="00D04803" w:rsidRPr="00234FA3" w:rsidRDefault="00D04803" w:rsidP="00234FA3">
      <w:pPr>
        <w:pBdr>
          <w:bottom w:val="single" w:sz="12" w:space="1" w:color="auto"/>
        </w:pBdr>
        <w:spacing w:before="240" w:after="120" w:line="360" w:lineRule="auto"/>
        <w:jc w:val="both"/>
        <w:rPr>
          <w:rFonts w:ascii="Arial" w:hAnsi="Arial" w:cs="Arial"/>
          <w:sz w:val="16"/>
          <w:szCs w:val="16"/>
        </w:rPr>
      </w:pPr>
    </w:p>
    <w:p w14:paraId="1A4DA19F" w14:textId="77777777" w:rsidR="00234FA3" w:rsidRDefault="00234FA3" w:rsidP="00234FA3">
      <w:pPr>
        <w:spacing w:before="240" w:after="120" w:line="360" w:lineRule="auto"/>
        <w:jc w:val="both"/>
        <w:rPr>
          <w:rFonts w:ascii="Arial" w:hAnsi="Arial" w:cs="Arial"/>
          <w:b/>
        </w:rPr>
      </w:pPr>
    </w:p>
    <w:p w14:paraId="2F3E098F" w14:textId="77777777" w:rsidR="00D04803" w:rsidRPr="00234FA3" w:rsidRDefault="00D04803" w:rsidP="00234FA3">
      <w:pPr>
        <w:spacing w:before="240" w:after="120" w:line="360" w:lineRule="auto"/>
        <w:jc w:val="both"/>
        <w:rPr>
          <w:rFonts w:ascii="Arial" w:hAnsi="Arial" w:cs="Arial"/>
          <w:b/>
        </w:rPr>
      </w:pPr>
      <w:r w:rsidRPr="00234FA3">
        <w:rPr>
          <w:rFonts w:ascii="Arial" w:hAnsi="Arial" w:cs="Arial"/>
          <w:b/>
        </w:rPr>
        <w:lastRenderedPageBreak/>
        <w:t>DJAJE, AJA</w:t>
      </w:r>
    </w:p>
    <w:p w14:paraId="7A0180A6" w14:textId="77777777" w:rsidR="00D04803" w:rsidRPr="00234FA3" w:rsidRDefault="00D04803" w:rsidP="00234FA3">
      <w:pPr>
        <w:spacing w:before="240" w:after="120" w:line="360" w:lineRule="auto"/>
        <w:jc w:val="both"/>
        <w:rPr>
          <w:rFonts w:ascii="Arial" w:hAnsi="Arial" w:cs="Arial"/>
          <w:bCs/>
          <w:u w:val="single"/>
        </w:rPr>
      </w:pPr>
      <w:r w:rsidRPr="00234FA3">
        <w:rPr>
          <w:rFonts w:ascii="Arial" w:hAnsi="Arial" w:cs="Arial"/>
          <w:bCs/>
          <w:u w:val="single"/>
        </w:rPr>
        <w:t>Introduction</w:t>
      </w:r>
    </w:p>
    <w:p w14:paraId="26B14802" w14:textId="77777777" w:rsidR="00D04803" w:rsidRPr="00234FA3" w:rsidRDefault="00D04803" w:rsidP="00075473">
      <w:pPr>
        <w:pStyle w:val="ListParagraph"/>
        <w:numPr>
          <w:ilvl w:val="0"/>
          <w:numId w:val="5"/>
        </w:numPr>
        <w:spacing w:before="240" w:after="120" w:line="360" w:lineRule="auto"/>
        <w:ind w:hanging="720"/>
        <w:contextualSpacing w:val="0"/>
        <w:jc w:val="both"/>
        <w:rPr>
          <w:rFonts w:ascii="Arial" w:hAnsi="Arial" w:cs="Arial"/>
          <w:bCs/>
        </w:rPr>
      </w:pPr>
      <w:r w:rsidRPr="00234FA3">
        <w:rPr>
          <w:rFonts w:ascii="Arial" w:hAnsi="Arial" w:cs="Arial"/>
          <w:bCs/>
        </w:rPr>
        <w:t>This is an appeal against the judgment of the Labour Court, where the appellant’s review application was dismissed. The appellant filed a review challenging the arbitration award issued by the second respondent, which determined that the appellant had unfairly dismissed the third respondent. The court ordered the appellant to reinstate the third respondent.</w:t>
      </w:r>
    </w:p>
    <w:p w14:paraId="7A24372F" w14:textId="77777777" w:rsidR="00D04803" w:rsidRPr="00234FA3" w:rsidRDefault="00D04803" w:rsidP="00234FA3">
      <w:pPr>
        <w:spacing w:before="240" w:after="120" w:line="360" w:lineRule="auto"/>
        <w:ind w:left="709" w:hanging="709"/>
        <w:jc w:val="both"/>
        <w:rPr>
          <w:rFonts w:ascii="Arial" w:hAnsi="Arial" w:cs="Arial"/>
          <w:bCs/>
          <w:u w:val="single"/>
        </w:rPr>
      </w:pPr>
      <w:r w:rsidRPr="00B049A6">
        <w:rPr>
          <w:rFonts w:ascii="Arial" w:hAnsi="Arial" w:cs="Arial"/>
          <w:bCs/>
          <w:highlight w:val="green"/>
          <w:u w:val="single"/>
        </w:rPr>
        <w:t>Background Facts</w:t>
      </w:r>
    </w:p>
    <w:p w14:paraId="5A660AB2" w14:textId="77777777" w:rsidR="00CE2372"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bCs/>
        </w:rPr>
        <w:t xml:space="preserve">The third respondent started working with the appellant on 18 April 2018, as a Final Level Grader Operator. In November 2020, Mr Peter Gray (Gray), the appellant’s Operator Training Manager, approached the third respondent. Their discussion involved the appellant’s operational needs and the possibility of transferring the third respondent to Postmansburg in the Northern Cape, where his skills were needed. The third respondent declined the transfer because he did not want to be away from his family. He testified </w:t>
      </w:r>
      <w:r w:rsidR="00432F7F">
        <w:rPr>
          <w:rFonts w:ascii="Arial" w:hAnsi="Arial" w:cs="Arial"/>
          <w:bCs/>
        </w:rPr>
        <w:t xml:space="preserve">at arbitration that Gray told him the appellant intended to retrench him, and that </w:t>
      </w:r>
      <w:r w:rsidRPr="00234FA3">
        <w:rPr>
          <w:rFonts w:ascii="Arial" w:hAnsi="Arial" w:cs="Arial"/>
          <w:bCs/>
        </w:rPr>
        <w:t xml:space="preserve">if he refused the retrenchment, he would be dismissed. </w:t>
      </w:r>
      <w:r w:rsidR="0003778F">
        <w:rPr>
          <w:rFonts w:ascii="Arial" w:hAnsi="Arial" w:cs="Arial"/>
          <w:bCs/>
        </w:rPr>
        <w:t>In contrast</w:t>
      </w:r>
      <w:r w:rsidR="00C90E91">
        <w:rPr>
          <w:rFonts w:ascii="Arial" w:hAnsi="Arial" w:cs="Arial"/>
          <w:bCs/>
        </w:rPr>
        <w:t xml:space="preserve">, Gray, </w:t>
      </w:r>
      <w:r w:rsidRPr="00234FA3">
        <w:rPr>
          <w:rFonts w:ascii="Arial" w:hAnsi="Arial" w:cs="Arial"/>
          <w:bCs/>
        </w:rPr>
        <w:t xml:space="preserve">testified that the third respondent asked to be retrenched due to financial difficulties at home. What happened after this discussion is significant. On </w:t>
      </w:r>
      <w:r w:rsidR="004D0EDB" w:rsidRPr="00234FA3">
        <w:rPr>
          <w:rFonts w:ascii="Arial" w:hAnsi="Arial" w:cs="Arial"/>
          <w:bCs/>
        </w:rPr>
        <w:t xml:space="preserve">3 </w:t>
      </w:r>
      <w:r w:rsidRPr="00234FA3">
        <w:rPr>
          <w:rFonts w:ascii="Arial" w:hAnsi="Arial" w:cs="Arial"/>
          <w:bCs/>
        </w:rPr>
        <w:t>December 2020, the parties signed a document titled "</w:t>
      </w:r>
      <w:r w:rsidRPr="00BC74FE">
        <w:rPr>
          <w:rFonts w:ascii="Arial" w:hAnsi="Arial" w:cs="Arial"/>
          <w:bCs/>
          <w:highlight w:val="yellow"/>
        </w:rPr>
        <w:t>Mutual Separation Agreement,"</w:t>
      </w:r>
      <w:r w:rsidRPr="00234FA3">
        <w:rPr>
          <w:rFonts w:ascii="Arial" w:hAnsi="Arial" w:cs="Arial"/>
          <w:bCs/>
        </w:rPr>
        <w:t xml:space="preserve"> and the third respondent received a severance pay of R181,541.75.</w:t>
      </w:r>
      <w:r w:rsidR="00CE2372" w:rsidRPr="00234FA3">
        <w:rPr>
          <w:rFonts w:ascii="Arial" w:hAnsi="Arial" w:cs="Arial"/>
          <w:bCs/>
        </w:rPr>
        <w:t xml:space="preserve">  </w:t>
      </w:r>
    </w:p>
    <w:p w14:paraId="17B53BD6"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The third respondent referred an unfair dismissal dispute to the second respondent, culminating in an arbitration award dated 28 May 2021, which found that the agreement was not a Mutual Separation Agreement but that the appellant retrenched the third respondent and failed to comply with the requirements of section 189 of the Labour Relations Act</w:t>
      </w:r>
      <w:r w:rsidR="004D0EDB" w:rsidRPr="00234FA3">
        <w:rPr>
          <w:rStyle w:val="FootnoteReference"/>
          <w:rFonts w:ascii="Arial" w:hAnsi="Arial" w:cs="Arial"/>
        </w:rPr>
        <w:footnoteReference w:id="1"/>
      </w:r>
      <w:r w:rsidRPr="00234FA3">
        <w:rPr>
          <w:rFonts w:ascii="Arial" w:hAnsi="Arial" w:cs="Arial"/>
        </w:rPr>
        <w:t xml:space="preserve"> (LRA). An order reinstating the third respondent was issued.</w:t>
      </w:r>
    </w:p>
    <w:p w14:paraId="1EC54D2C" w14:textId="77777777" w:rsidR="00234FA3" w:rsidRDefault="00234FA3" w:rsidP="00234FA3">
      <w:pPr>
        <w:spacing w:before="240" w:after="120" w:line="360" w:lineRule="auto"/>
        <w:jc w:val="both"/>
        <w:rPr>
          <w:rFonts w:ascii="Arial" w:hAnsi="Arial" w:cs="Arial"/>
          <w:u w:val="single"/>
        </w:rPr>
      </w:pPr>
    </w:p>
    <w:p w14:paraId="122E4EF4" w14:textId="77777777" w:rsidR="00D04803" w:rsidRPr="00234FA3" w:rsidRDefault="00D04803" w:rsidP="00234FA3">
      <w:pPr>
        <w:spacing w:before="240" w:after="120" w:line="360" w:lineRule="auto"/>
        <w:jc w:val="both"/>
        <w:rPr>
          <w:rFonts w:ascii="Arial" w:hAnsi="Arial" w:cs="Arial"/>
          <w:u w:val="single"/>
        </w:rPr>
      </w:pPr>
      <w:r w:rsidRPr="00234FA3">
        <w:rPr>
          <w:rFonts w:ascii="Arial" w:hAnsi="Arial" w:cs="Arial"/>
          <w:u w:val="single"/>
        </w:rPr>
        <w:lastRenderedPageBreak/>
        <w:t>Arbitration Award</w:t>
      </w:r>
    </w:p>
    <w:p w14:paraId="1597A270" w14:textId="77777777" w:rsidR="00CE2372"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675EFA">
        <w:rPr>
          <w:rFonts w:ascii="Arial" w:hAnsi="Arial" w:cs="Arial"/>
          <w:highlight w:val="yellow"/>
        </w:rPr>
        <w:t>The issue before the second respondent was whether the third respondent had been dismissed and whether the dismissal was fair.</w:t>
      </w:r>
      <w:r w:rsidRPr="00234FA3">
        <w:rPr>
          <w:rFonts w:ascii="Arial" w:hAnsi="Arial" w:cs="Arial"/>
        </w:rPr>
        <w:t xml:space="preserve"> The remedy sought was retrospective reinstatement. Upon analysing the evidence, the arbitrator determined that the document signed by both parties was more of a retrenchment letter outlining the retrenchment package to be received by the third respondent. He found that although the document was titled "Mutual Separation Agreement," its contents focused solely on retrenchment and the benefits associated with it. He based his decision on the document's wording, stating that the third respondent’s retrenchment package would include severance pay, bonus pay, and leave pay, and that the date of retrenchment would be 18 December 2020. The final page of the document indicated that the third respondent was retrenched.</w:t>
      </w:r>
      <w:bookmarkStart w:id="0" w:name="_Hlk216373079"/>
    </w:p>
    <w:p w14:paraId="753F5436"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The arbitrator determined that no retrenchment process occurred despite the parties signing a document stating that the third respondent had been retrenched. The version of Gray that the third respondent intended to resign or be retrenched was dismissed. It was concluded that the third respondent was coerced into leaving. The dismissal was found to be both procedurally and substantively unfair because no retrenchment process was followed. The appellant was ordered to reinstate the third respondent and pay him R181,541.75.</w:t>
      </w:r>
    </w:p>
    <w:bookmarkEnd w:id="0"/>
    <w:p w14:paraId="198E9E4B" w14:textId="77777777" w:rsidR="00D04803" w:rsidRPr="00234FA3" w:rsidRDefault="00D04803" w:rsidP="00234FA3">
      <w:pPr>
        <w:spacing w:before="240" w:after="120" w:line="360" w:lineRule="auto"/>
        <w:jc w:val="both"/>
        <w:rPr>
          <w:rFonts w:ascii="Arial" w:hAnsi="Arial" w:cs="Arial"/>
          <w:u w:val="single"/>
        </w:rPr>
      </w:pPr>
      <w:r w:rsidRPr="00234FA3">
        <w:rPr>
          <w:rFonts w:ascii="Arial" w:hAnsi="Arial" w:cs="Arial"/>
          <w:u w:val="single"/>
        </w:rPr>
        <w:t>Labour Court</w:t>
      </w:r>
    </w:p>
    <w:p w14:paraId="0F5B74B2" w14:textId="77777777" w:rsidR="00D04803" w:rsidRPr="00234FA3" w:rsidRDefault="00450AE6" w:rsidP="00075473">
      <w:pPr>
        <w:pStyle w:val="ListParagraph"/>
        <w:numPr>
          <w:ilvl w:val="0"/>
          <w:numId w:val="5"/>
        </w:numPr>
        <w:spacing w:before="240" w:after="120" w:line="360" w:lineRule="auto"/>
        <w:ind w:hanging="720"/>
        <w:contextualSpacing w:val="0"/>
        <w:jc w:val="both"/>
        <w:rPr>
          <w:rFonts w:ascii="Arial" w:hAnsi="Arial" w:cs="Arial"/>
        </w:rPr>
      </w:pPr>
      <w:r>
        <w:rPr>
          <w:rFonts w:ascii="Arial" w:hAnsi="Arial" w:cs="Arial"/>
        </w:rPr>
        <w:t>Dissatisfied/aggrieved with the award</w:t>
      </w:r>
      <w:r w:rsidR="00A47120">
        <w:rPr>
          <w:rFonts w:ascii="Arial" w:hAnsi="Arial" w:cs="Arial"/>
        </w:rPr>
        <w:t>,</w:t>
      </w:r>
      <w:r>
        <w:rPr>
          <w:rFonts w:ascii="Arial" w:hAnsi="Arial" w:cs="Arial"/>
        </w:rPr>
        <w:t xml:space="preserve"> t</w:t>
      </w:r>
      <w:r w:rsidR="00D04803" w:rsidRPr="00234FA3">
        <w:rPr>
          <w:rFonts w:ascii="Arial" w:hAnsi="Arial" w:cs="Arial"/>
        </w:rPr>
        <w:t>he appellant brought a review application under section 145 of the LRA to have the arbitration award reviewed and set aside. The issues that the Labour Court had to decide were as follows:</w:t>
      </w:r>
    </w:p>
    <w:p w14:paraId="42989526" w14:textId="77777777" w:rsidR="00D04803" w:rsidRPr="00A126A8" w:rsidRDefault="00D04803" w:rsidP="00A126A8">
      <w:pPr>
        <w:spacing w:before="240" w:after="120" w:line="360" w:lineRule="auto"/>
        <w:ind w:left="2160" w:hanging="720"/>
        <w:jc w:val="both"/>
        <w:rPr>
          <w:rFonts w:ascii="Arial" w:hAnsi="Arial" w:cs="Arial"/>
          <w:sz w:val="22"/>
          <w:szCs w:val="22"/>
        </w:rPr>
      </w:pPr>
      <w:r w:rsidRPr="00A126A8">
        <w:rPr>
          <w:rFonts w:ascii="Arial" w:hAnsi="Arial" w:cs="Arial"/>
          <w:sz w:val="22"/>
          <w:szCs w:val="22"/>
        </w:rPr>
        <w:t xml:space="preserve">“1. </w:t>
      </w:r>
      <w:r w:rsidR="00ED6BDB" w:rsidRPr="00A126A8">
        <w:rPr>
          <w:rFonts w:ascii="Arial" w:hAnsi="Arial" w:cs="Arial"/>
          <w:sz w:val="22"/>
          <w:szCs w:val="22"/>
        </w:rPr>
        <w:t xml:space="preserve"> </w:t>
      </w:r>
      <w:r w:rsidR="004D0EDB" w:rsidRPr="00234FA3">
        <w:rPr>
          <w:rFonts w:ascii="Arial" w:hAnsi="Arial" w:cs="Arial"/>
          <w:sz w:val="22"/>
          <w:szCs w:val="22"/>
        </w:rPr>
        <w:tab/>
      </w:r>
      <w:r w:rsidRPr="00A126A8">
        <w:rPr>
          <w:rFonts w:ascii="Arial" w:hAnsi="Arial" w:cs="Arial"/>
          <w:sz w:val="22"/>
          <w:szCs w:val="22"/>
        </w:rPr>
        <w:t>Whether the first respondent’s finding that there was no procedure followed</w:t>
      </w:r>
      <w:r w:rsidR="00CE2372" w:rsidRPr="00A126A8">
        <w:rPr>
          <w:rFonts w:ascii="Arial" w:hAnsi="Arial" w:cs="Arial"/>
          <w:sz w:val="22"/>
          <w:szCs w:val="22"/>
        </w:rPr>
        <w:t xml:space="preserve"> </w:t>
      </w:r>
      <w:r w:rsidRPr="00A126A8">
        <w:rPr>
          <w:rFonts w:ascii="Arial" w:hAnsi="Arial" w:cs="Arial"/>
          <w:sz w:val="22"/>
          <w:szCs w:val="22"/>
        </w:rPr>
        <w:t>for the third respondent’s retrenchment was reasonable;</w:t>
      </w:r>
    </w:p>
    <w:p w14:paraId="729EAD64" w14:textId="77777777" w:rsidR="00D04803" w:rsidRPr="00A126A8" w:rsidRDefault="00D04803" w:rsidP="00A126A8">
      <w:pPr>
        <w:spacing w:before="240" w:after="120" w:line="360" w:lineRule="auto"/>
        <w:ind w:left="2160" w:hanging="720"/>
        <w:jc w:val="both"/>
        <w:rPr>
          <w:rFonts w:ascii="Arial" w:hAnsi="Arial" w:cs="Arial"/>
          <w:sz w:val="22"/>
          <w:szCs w:val="22"/>
        </w:rPr>
      </w:pPr>
      <w:r w:rsidRPr="00A126A8">
        <w:rPr>
          <w:rFonts w:ascii="Arial" w:hAnsi="Arial" w:cs="Arial"/>
          <w:sz w:val="22"/>
          <w:szCs w:val="22"/>
        </w:rPr>
        <w:t xml:space="preserve">2. </w:t>
      </w:r>
      <w:r w:rsidR="00ED6BDB" w:rsidRPr="00A126A8">
        <w:rPr>
          <w:rFonts w:ascii="Arial" w:hAnsi="Arial" w:cs="Arial"/>
          <w:sz w:val="22"/>
          <w:szCs w:val="22"/>
        </w:rPr>
        <w:t xml:space="preserve"> </w:t>
      </w:r>
      <w:r w:rsidR="004D0EDB" w:rsidRPr="00234FA3">
        <w:rPr>
          <w:rFonts w:ascii="Arial" w:hAnsi="Arial" w:cs="Arial"/>
          <w:sz w:val="22"/>
          <w:szCs w:val="22"/>
        </w:rPr>
        <w:tab/>
      </w:r>
      <w:r w:rsidRPr="00A126A8">
        <w:rPr>
          <w:rFonts w:ascii="Arial" w:hAnsi="Arial" w:cs="Arial"/>
          <w:sz w:val="22"/>
          <w:szCs w:val="22"/>
        </w:rPr>
        <w:t>Whether, given the existence of a mutual separation agreement, the first</w:t>
      </w:r>
      <w:r w:rsidR="00ED6BDB" w:rsidRPr="00A126A8">
        <w:rPr>
          <w:rFonts w:ascii="Arial" w:hAnsi="Arial" w:cs="Arial"/>
          <w:sz w:val="22"/>
          <w:szCs w:val="22"/>
        </w:rPr>
        <w:t xml:space="preserve"> </w:t>
      </w:r>
      <w:r w:rsidRPr="00A126A8">
        <w:rPr>
          <w:rFonts w:ascii="Arial" w:hAnsi="Arial" w:cs="Arial"/>
          <w:sz w:val="22"/>
          <w:szCs w:val="22"/>
        </w:rPr>
        <w:t>respondent’s decision that the third respondent had been unfairly retrenched was irregular; and</w:t>
      </w:r>
    </w:p>
    <w:p w14:paraId="4C6EC652" w14:textId="77777777" w:rsidR="00D04803" w:rsidRPr="00A126A8" w:rsidRDefault="00D04803" w:rsidP="00A126A8">
      <w:pPr>
        <w:spacing w:before="240" w:after="120" w:line="360" w:lineRule="auto"/>
        <w:ind w:left="2160" w:hanging="720"/>
        <w:jc w:val="both"/>
        <w:rPr>
          <w:rFonts w:ascii="Arial" w:hAnsi="Arial" w:cs="Arial"/>
          <w:sz w:val="22"/>
          <w:szCs w:val="22"/>
        </w:rPr>
      </w:pPr>
      <w:r w:rsidRPr="00A126A8">
        <w:rPr>
          <w:rFonts w:ascii="Arial" w:hAnsi="Arial" w:cs="Arial"/>
          <w:sz w:val="22"/>
          <w:szCs w:val="22"/>
        </w:rPr>
        <w:lastRenderedPageBreak/>
        <w:t>3.</w:t>
      </w:r>
      <w:r w:rsidR="00ED6BDB" w:rsidRPr="00A126A8">
        <w:rPr>
          <w:rFonts w:ascii="Arial" w:hAnsi="Arial" w:cs="Arial"/>
          <w:sz w:val="22"/>
          <w:szCs w:val="22"/>
        </w:rPr>
        <w:t xml:space="preserve"> </w:t>
      </w:r>
      <w:r w:rsidRPr="00A126A8">
        <w:rPr>
          <w:rFonts w:ascii="Arial" w:hAnsi="Arial" w:cs="Arial"/>
          <w:sz w:val="22"/>
          <w:szCs w:val="22"/>
        </w:rPr>
        <w:t xml:space="preserve"> </w:t>
      </w:r>
      <w:r w:rsidR="004D0EDB" w:rsidRPr="00234FA3">
        <w:rPr>
          <w:rFonts w:ascii="Arial" w:hAnsi="Arial" w:cs="Arial"/>
          <w:sz w:val="22"/>
          <w:szCs w:val="22"/>
        </w:rPr>
        <w:tab/>
      </w:r>
      <w:r w:rsidRPr="00063BEF">
        <w:rPr>
          <w:rFonts w:ascii="Arial" w:hAnsi="Arial" w:cs="Arial"/>
          <w:sz w:val="22"/>
          <w:szCs w:val="22"/>
          <w:highlight w:val="yellow"/>
        </w:rPr>
        <w:t>Whether an employer may circumvent the retrenchment procedure in section</w:t>
      </w:r>
      <w:r w:rsidR="006B5135" w:rsidRPr="00063BEF">
        <w:rPr>
          <w:rFonts w:ascii="Arial" w:hAnsi="Arial" w:cs="Arial"/>
          <w:sz w:val="22"/>
          <w:szCs w:val="22"/>
          <w:highlight w:val="yellow"/>
        </w:rPr>
        <w:t xml:space="preserve"> </w:t>
      </w:r>
      <w:r w:rsidRPr="00063BEF">
        <w:rPr>
          <w:rFonts w:ascii="Arial" w:hAnsi="Arial" w:cs="Arial"/>
          <w:sz w:val="22"/>
          <w:szCs w:val="22"/>
          <w:highlight w:val="yellow"/>
        </w:rPr>
        <w:t>189 of the LRA by signing a retrenchment document disguised as a mutual separation agreement.”</w:t>
      </w:r>
    </w:p>
    <w:p w14:paraId="50BB0E55" w14:textId="77777777" w:rsidR="006B5135"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 xml:space="preserve">On the first issue, the court </w:t>
      </w:r>
      <w:r w:rsidRPr="00A126A8">
        <w:rPr>
          <w:rFonts w:ascii="Arial" w:hAnsi="Arial" w:cs="Arial"/>
          <w:i/>
          <w:iCs/>
        </w:rPr>
        <w:t>a quo</w:t>
      </w:r>
      <w:r w:rsidRPr="00234FA3">
        <w:rPr>
          <w:rFonts w:ascii="Arial" w:hAnsi="Arial" w:cs="Arial"/>
        </w:rPr>
        <w:t xml:space="preserve"> found that the parties signed a mutual separation agreement to end their employment relationship due to operational requirements, but that the LRA requirements for </w:t>
      </w:r>
      <w:r w:rsidR="00A47120">
        <w:rPr>
          <w:rFonts w:ascii="Arial" w:hAnsi="Arial" w:cs="Arial"/>
        </w:rPr>
        <w:t>retrenchment had to be complied with</w:t>
      </w:r>
      <w:r w:rsidRPr="00234FA3">
        <w:rPr>
          <w:rFonts w:ascii="Arial" w:hAnsi="Arial" w:cs="Arial"/>
        </w:rPr>
        <w:t xml:space="preserve">. The court </w:t>
      </w:r>
      <w:r w:rsidRPr="00A126A8">
        <w:rPr>
          <w:rFonts w:ascii="Arial" w:hAnsi="Arial" w:cs="Arial"/>
          <w:i/>
          <w:iCs/>
        </w:rPr>
        <w:t>a quo</w:t>
      </w:r>
      <w:r w:rsidRPr="00234FA3">
        <w:rPr>
          <w:rFonts w:ascii="Arial" w:hAnsi="Arial" w:cs="Arial"/>
        </w:rPr>
        <w:t xml:space="preserve"> held that the appellant's failure to comply with the provisions of section 189 of the LRA was fatal and made the third respondent's dismissal unfair. In that case, </w:t>
      </w:r>
      <w:r w:rsidR="00A47120">
        <w:rPr>
          <w:rFonts w:ascii="Arial" w:hAnsi="Arial" w:cs="Arial"/>
        </w:rPr>
        <w:t xml:space="preserve">the decision of the first respondent was found to be </w:t>
      </w:r>
      <w:r w:rsidRPr="00234FA3">
        <w:rPr>
          <w:rFonts w:ascii="Arial" w:hAnsi="Arial" w:cs="Arial"/>
        </w:rPr>
        <w:t>reasonable.</w:t>
      </w:r>
      <w:r w:rsidR="006B5135" w:rsidRPr="00234FA3">
        <w:rPr>
          <w:rFonts w:ascii="Arial" w:hAnsi="Arial" w:cs="Arial"/>
        </w:rPr>
        <w:t xml:space="preserve"> </w:t>
      </w:r>
    </w:p>
    <w:p w14:paraId="3321A4DA" w14:textId="77777777" w:rsidR="006B5135"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 xml:space="preserve">The court </w:t>
      </w:r>
      <w:r w:rsidRPr="00A126A8">
        <w:rPr>
          <w:rFonts w:ascii="Arial" w:hAnsi="Arial" w:cs="Arial"/>
          <w:i/>
          <w:iCs/>
        </w:rPr>
        <w:t>a quo</w:t>
      </w:r>
      <w:r w:rsidRPr="00234FA3">
        <w:rPr>
          <w:rFonts w:ascii="Arial" w:hAnsi="Arial" w:cs="Arial"/>
        </w:rPr>
        <w:t xml:space="preserve"> concluded that the discussion on operational requirements before signing the mutual separation agreement showed that the appellant was required to comply with section 189 of the LRA before the third respondent could be retrenched. </w:t>
      </w:r>
      <w:r w:rsidR="006B5135" w:rsidRPr="00234FA3">
        <w:rPr>
          <w:rFonts w:ascii="Arial" w:hAnsi="Arial" w:cs="Arial"/>
        </w:rPr>
        <w:t xml:space="preserve"> </w:t>
      </w:r>
    </w:p>
    <w:p w14:paraId="2CBE0E19"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The court relied on the wording of the mutual separation agreement, which specifie</w:t>
      </w:r>
      <w:r w:rsidR="00450AE6">
        <w:rPr>
          <w:rFonts w:ascii="Arial" w:hAnsi="Arial" w:cs="Arial"/>
        </w:rPr>
        <w:t>d</w:t>
      </w:r>
      <w:r w:rsidRPr="00234FA3">
        <w:rPr>
          <w:rFonts w:ascii="Arial" w:hAnsi="Arial" w:cs="Arial"/>
        </w:rPr>
        <w:t xml:space="preserve"> the terms of a retrenchment package, indicating that the appellant intended to retrench the third respondent. In the agreement, the following was recorded: </w:t>
      </w:r>
      <w:r w:rsidRPr="00234FA3">
        <w:rPr>
          <w:rFonts w:ascii="Arial" w:hAnsi="Arial" w:cs="Arial"/>
          <w:i/>
          <w:iCs/>
        </w:rPr>
        <w:t xml:space="preserve">“We confirm recent consultations held and wish to inform you that your retrenchment will be on December 1, 2020.” </w:t>
      </w:r>
    </w:p>
    <w:p w14:paraId="122F92D3" w14:textId="77777777" w:rsidR="00D04803" w:rsidRPr="00234FA3" w:rsidRDefault="00D04803" w:rsidP="00234FA3">
      <w:pPr>
        <w:spacing w:before="240" w:after="120" w:line="360" w:lineRule="auto"/>
        <w:jc w:val="both"/>
        <w:rPr>
          <w:rFonts w:ascii="Arial" w:hAnsi="Arial" w:cs="Arial"/>
          <w:u w:val="single"/>
          <w:lang w:val="en-US" w:eastAsia="zh-CN"/>
        </w:rPr>
      </w:pPr>
      <w:r w:rsidRPr="00234FA3">
        <w:rPr>
          <w:rFonts w:ascii="Arial" w:hAnsi="Arial" w:cs="Arial"/>
          <w:u w:val="single"/>
          <w:lang w:val="en-US" w:eastAsia="zh-CN"/>
        </w:rPr>
        <w:t>Appeal</w:t>
      </w:r>
    </w:p>
    <w:p w14:paraId="462075E7"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The appellant challenges the judgment of the Labour Court on several grounds which are:</w:t>
      </w:r>
    </w:p>
    <w:p w14:paraId="6658032C"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 1. </w:t>
      </w:r>
      <w:r w:rsidR="004D0EDB" w:rsidRPr="00234FA3">
        <w:rPr>
          <w:rFonts w:ascii="Arial" w:hAnsi="Arial" w:cs="Arial"/>
          <w:sz w:val="22"/>
          <w:szCs w:val="22"/>
          <w:lang w:val="en-US" w:eastAsia="zh-CN"/>
        </w:rPr>
        <w:tab/>
      </w:r>
      <w:r w:rsidRPr="00A126A8">
        <w:rPr>
          <w:rFonts w:ascii="Arial" w:hAnsi="Arial" w:cs="Arial"/>
          <w:sz w:val="22"/>
          <w:szCs w:val="22"/>
          <w:lang w:val="en-US" w:eastAsia="zh-CN"/>
        </w:rPr>
        <w:t>The court a quo erred in concluding that the appellant and the third</w:t>
      </w:r>
      <w:r w:rsidR="004D0EDB" w:rsidRPr="00A126A8">
        <w:rPr>
          <w:rFonts w:ascii="Arial" w:hAnsi="Arial" w:cs="Arial"/>
          <w:sz w:val="22"/>
          <w:szCs w:val="22"/>
          <w:lang w:val="en-US" w:eastAsia="zh-CN"/>
        </w:rPr>
        <w:t xml:space="preserve"> </w:t>
      </w:r>
      <w:r w:rsidRPr="00A126A8">
        <w:rPr>
          <w:rFonts w:ascii="Arial" w:hAnsi="Arial" w:cs="Arial"/>
          <w:sz w:val="22"/>
          <w:szCs w:val="22"/>
          <w:lang w:val="en-US" w:eastAsia="zh-CN"/>
        </w:rPr>
        <w:t>respondent had not concluded a mutual separation agreement which terminated the third respondent’s employment with the appellant.</w:t>
      </w:r>
    </w:p>
    <w:p w14:paraId="597E8A2C" w14:textId="77777777" w:rsidR="00D04803" w:rsidRPr="00A126A8" w:rsidRDefault="00EC5A82"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 </w:t>
      </w:r>
      <w:r w:rsidR="00D04803" w:rsidRPr="00A126A8">
        <w:rPr>
          <w:rFonts w:ascii="Arial" w:hAnsi="Arial" w:cs="Arial"/>
          <w:sz w:val="22"/>
          <w:szCs w:val="22"/>
          <w:lang w:val="en-US" w:eastAsia="zh-CN"/>
        </w:rPr>
        <w:t xml:space="preserve">2. </w:t>
      </w:r>
      <w:r w:rsidRPr="00A126A8">
        <w:rPr>
          <w:rFonts w:ascii="Arial" w:hAnsi="Arial" w:cs="Arial"/>
          <w:sz w:val="22"/>
          <w:szCs w:val="22"/>
          <w:lang w:val="en-US" w:eastAsia="zh-CN"/>
        </w:rPr>
        <w:t xml:space="preserve"> </w:t>
      </w:r>
      <w:r w:rsidR="004D0EDB" w:rsidRPr="00234FA3">
        <w:rPr>
          <w:rFonts w:ascii="Arial" w:hAnsi="Arial" w:cs="Arial"/>
          <w:sz w:val="22"/>
          <w:szCs w:val="22"/>
          <w:lang w:val="en-US" w:eastAsia="zh-CN"/>
        </w:rPr>
        <w:tab/>
      </w:r>
      <w:r w:rsidR="00D04803" w:rsidRPr="00A126A8">
        <w:rPr>
          <w:rFonts w:ascii="Arial" w:hAnsi="Arial" w:cs="Arial"/>
          <w:sz w:val="22"/>
          <w:szCs w:val="22"/>
          <w:lang w:val="en-US" w:eastAsia="zh-CN"/>
        </w:rPr>
        <w:t>The court erred in finding that the appellant had instead unfairly retrenched the third respondent.</w:t>
      </w:r>
    </w:p>
    <w:p w14:paraId="668795FF"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3. </w:t>
      </w:r>
      <w:r w:rsidR="00EC5A82" w:rsidRPr="00A126A8">
        <w:rPr>
          <w:rFonts w:ascii="Arial" w:hAnsi="Arial" w:cs="Arial"/>
          <w:sz w:val="22"/>
          <w:szCs w:val="22"/>
          <w:lang w:val="en-US" w:eastAsia="zh-CN"/>
        </w:rPr>
        <w:t xml:space="preserve"> </w:t>
      </w:r>
      <w:r w:rsidR="004D0EDB" w:rsidRPr="00234FA3">
        <w:rPr>
          <w:rFonts w:ascii="Arial" w:hAnsi="Arial" w:cs="Arial"/>
          <w:sz w:val="22"/>
          <w:szCs w:val="22"/>
          <w:lang w:val="en-US" w:eastAsia="zh-CN"/>
        </w:rPr>
        <w:tab/>
      </w:r>
      <w:r w:rsidRPr="00A126A8">
        <w:rPr>
          <w:rFonts w:ascii="Arial" w:hAnsi="Arial" w:cs="Arial"/>
          <w:sz w:val="22"/>
          <w:szCs w:val="22"/>
          <w:lang w:val="en-US" w:eastAsia="zh-CN"/>
        </w:rPr>
        <w:t>The court erred in applying the reasonableness test instead of the legal correctness test in determining whether the appellant and the third respondent had concluded a mutual separation agreement.</w:t>
      </w:r>
    </w:p>
    <w:p w14:paraId="7A923392"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lastRenderedPageBreak/>
        <w:t xml:space="preserve">4. </w:t>
      </w:r>
      <w:r w:rsidR="00473FF5" w:rsidRPr="00A126A8">
        <w:rPr>
          <w:rFonts w:ascii="Arial" w:hAnsi="Arial" w:cs="Arial"/>
          <w:sz w:val="22"/>
          <w:szCs w:val="22"/>
          <w:lang w:val="en-US" w:eastAsia="zh-CN"/>
        </w:rPr>
        <w:t xml:space="preserve"> </w:t>
      </w:r>
      <w:r w:rsidR="004D0EDB" w:rsidRPr="00234FA3">
        <w:rPr>
          <w:rFonts w:ascii="Arial" w:hAnsi="Arial" w:cs="Arial"/>
          <w:sz w:val="22"/>
          <w:szCs w:val="22"/>
          <w:lang w:val="en-US" w:eastAsia="zh-CN"/>
        </w:rPr>
        <w:tab/>
      </w:r>
      <w:r w:rsidRPr="00A126A8">
        <w:rPr>
          <w:rFonts w:ascii="Arial" w:hAnsi="Arial" w:cs="Arial"/>
          <w:sz w:val="22"/>
          <w:szCs w:val="22"/>
          <w:lang w:val="en-US" w:eastAsia="zh-CN"/>
        </w:rPr>
        <w:t>The court a quo erred in concluding that the appellant and the third respondent were precluded in law from negotiating and/or concluding a mutual separation agreement after the commencement of consultations alternatively putative consultations about the possible retrenchment of the third respondent.</w:t>
      </w:r>
    </w:p>
    <w:p w14:paraId="55D1635F"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5. </w:t>
      </w:r>
      <w:r w:rsidR="00473FF5" w:rsidRPr="00A126A8">
        <w:rPr>
          <w:rFonts w:ascii="Arial" w:hAnsi="Arial" w:cs="Arial"/>
          <w:sz w:val="22"/>
          <w:szCs w:val="22"/>
          <w:lang w:val="en-US" w:eastAsia="zh-CN"/>
        </w:rPr>
        <w:t xml:space="preserve"> </w:t>
      </w:r>
      <w:r w:rsidR="004D0EDB" w:rsidRPr="00234FA3">
        <w:rPr>
          <w:rFonts w:ascii="Arial" w:hAnsi="Arial" w:cs="Arial"/>
          <w:sz w:val="22"/>
          <w:szCs w:val="22"/>
          <w:lang w:val="en-US" w:eastAsia="zh-CN"/>
        </w:rPr>
        <w:tab/>
      </w:r>
      <w:r w:rsidRPr="00A126A8">
        <w:rPr>
          <w:rFonts w:ascii="Arial" w:hAnsi="Arial" w:cs="Arial"/>
          <w:sz w:val="22"/>
          <w:szCs w:val="22"/>
          <w:lang w:val="en-US" w:eastAsia="zh-CN"/>
        </w:rPr>
        <w:t>The court a quo misconstrued alternatively failed to apply its mind to the grounds of review raised by the appellant and instead identified and dismissed grounds of review which were not apparent from the papers and were not advanced during the argument of the review application.”</w:t>
      </w:r>
    </w:p>
    <w:p w14:paraId="5CDE0C9A" w14:textId="77777777" w:rsidR="00473FF5" w:rsidRPr="00234FA3" w:rsidRDefault="00D04803" w:rsidP="00234FA3">
      <w:pPr>
        <w:spacing w:before="240" w:after="120" w:line="360" w:lineRule="auto"/>
        <w:jc w:val="both"/>
        <w:rPr>
          <w:rFonts w:ascii="Arial" w:hAnsi="Arial" w:cs="Arial"/>
          <w:u w:val="single"/>
          <w:lang w:val="en-US" w:eastAsia="zh-CN"/>
        </w:rPr>
      </w:pPr>
      <w:r w:rsidRPr="00234FA3">
        <w:rPr>
          <w:rFonts w:ascii="Arial" w:hAnsi="Arial" w:cs="Arial"/>
          <w:u w:val="single"/>
          <w:lang w:val="en-US" w:eastAsia="zh-CN"/>
        </w:rPr>
        <w:t>Submissions</w:t>
      </w:r>
    </w:p>
    <w:p w14:paraId="4D9648A9" w14:textId="77777777" w:rsidR="00473FF5"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u w:val="single"/>
          <w:lang w:val="en-US" w:eastAsia="zh-CN"/>
        </w:rPr>
      </w:pPr>
      <w:r w:rsidRPr="00234FA3">
        <w:rPr>
          <w:rFonts w:ascii="Arial" w:hAnsi="Arial" w:cs="Arial"/>
          <w:lang w:val="en-US" w:eastAsia="zh-CN"/>
        </w:rPr>
        <w:t xml:space="preserve">The appellant argued that, </w:t>
      </w:r>
      <w:r w:rsidRPr="00B049A6">
        <w:rPr>
          <w:rFonts w:ascii="Arial" w:hAnsi="Arial" w:cs="Arial"/>
          <w:highlight w:val="green"/>
          <w:lang w:val="en-US" w:eastAsia="zh-CN"/>
        </w:rPr>
        <w:t xml:space="preserve">during </w:t>
      </w:r>
      <w:r w:rsidR="007047C0" w:rsidRPr="00B049A6">
        <w:rPr>
          <w:rFonts w:ascii="Arial" w:hAnsi="Arial" w:cs="Arial"/>
          <w:highlight w:val="green"/>
          <w:lang w:val="en-US" w:eastAsia="zh-CN"/>
        </w:rPr>
        <w:t xml:space="preserve">the </w:t>
      </w:r>
      <w:r w:rsidR="00DD0860" w:rsidRPr="00B049A6">
        <w:rPr>
          <w:rFonts w:ascii="Arial" w:hAnsi="Arial" w:cs="Arial"/>
          <w:highlight w:val="green"/>
          <w:lang w:val="en-US" w:eastAsia="zh-CN"/>
        </w:rPr>
        <w:t>section</w:t>
      </w:r>
      <w:r w:rsidRPr="00B049A6">
        <w:rPr>
          <w:rFonts w:ascii="Arial" w:hAnsi="Arial" w:cs="Arial"/>
          <w:highlight w:val="green"/>
          <w:lang w:val="en-US" w:eastAsia="zh-CN"/>
        </w:rPr>
        <w:t xml:space="preserve"> 189 process, </w:t>
      </w:r>
      <w:r w:rsidR="00450AE6" w:rsidRPr="00B049A6">
        <w:rPr>
          <w:rFonts w:ascii="Arial" w:hAnsi="Arial" w:cs="Arial"/>
          <w:highlight w:val="green"/>
          <w:lang w:val="en-US" w:eastAsia="zh-CN"/>
        </w:rPr>
        <w:t xml:space="preserve">the </w:t>
      </w:r>
      <w:r w:rsidRPr="00B049A6">
        <w:rPr>
          <w:rFonts w:ascii="Arial" w:hAnsi="Arial" w:cs="Arial"/>
          <w:highlight w:val="green"/>
          <w:lang w:val="en-US" w:eastAsia="zh-CN"/>
        </w:rPr>
        <w:t>parties are not barred from signing a mutual separation agreement, and that the court a quo erred in concluding that, after discussing operational requirements, the appellant was required to comply with section 189 of the LRA.</w:t>
      </w:r>
      <w:r w:rsidRPr="00234FA3">
        <w:rPr>
          <w:rFonts w:ascii="Arial" w:hAnsi="Arial" w:cs="Arial"/>
          <w:lang w:val="en-US" w:eastAsia="zh-CN"/>
        </w:rPr>
        <w:t xml:space="preserve"> In any case, if the court found that the third respondent was retrenched, there must have been a valid operational reason. Gray testified that when he told the third respondent about the possibility of working in the Northern Cape, the third respondent said</w:t>
      </w:r>
      <w:r w:rsidR="00450AE6">
        <w:rPr>
          <w:rFonts w:ascii="Arial" w:hAnsi="Arial" w:cs="Arial"/>
          <w:lang w:val="en-US" w:eastAsia="zh-CN"/>
        </w:rPr>
        <w:t xml:space="preserve"> that</w:t>
      </w:r>
      <w:r w:rsidRPr="00234FA3">
        <w:rPr>
          <w:rFonts w:ascii="Arial" w:hAnsi="Arial" w:cs="Arial"/>
          <w:lang w:val="en-US" w:eastAsia="zh-CN"/>
        </w:rPr>
        <w:t xml:space="preserve"> he did not want to be far from his family. It was clear that there was no longer work for the third respondent at the Motheo site, and the move to the Northern Cape was an option the third respondent declined. Therefore, if the court found that the third respondent was retrenched, the retrenchment was substantively fair.</w:t>
      </w:r>
    </w:p>
    <w:p w14:paraId="196E57A2" w14:textId="77777777" w:rsidR="00473FF5"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u w:val="single"/>
          <w:lang w:val="en-US" w:eastAsia="zh-CN"/>
        </w:rPr>
      </w:pPr>
      <w:r w:rsidRPr="00234FA3">
        <w:rPr>
          <w:rFonts w:ascii="Arial" w:hAnsi="Arial" w:cs="Arial"/>
          <w:lang w:val="en-US" w:eastAsia="zh-CN"/>
        </w:rPr>
        <w:t xml:space="preserve"> According to the appellant, the court a </w:t>
      </w:r>
      <w:r w:rsidRPr="00A126A8">
        <w:rPr>
          <w:rFonts w:ascii="Arial" w:hAnsi="Arial" w:cs="Arial"/>
          <w:i/>
          <w:iCs/>
          <w:lang w:val="en-US" w:eastAsia="zh-CN"/>
        </w:rPr>
        <w:t>quo</w:t>
      </w:r>
      <w:r w:rsidRPr="00234FA3">
        <w:rPr>
          <w:rFonts w:ascii="Arial" w:hAnsi="Arial" w:cs="Arial"/>
          <w:lang w:val="en-US" w:eastAsia="zh-CN"/>
        </w:rPr>
        <w:t xml:space="preserve"> erred in applying the reasonableness test, as the issue was whether the agreement between the appellant and the third respondent was valid and enforceable.  </w:t>
      </w:r>
    </w:p>
    <w:p w14:paraId="3924AC55" w14:textId="77777777" w:rsidR="00473FF5"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u w:val="single"/>
          <w:lang w:val="en-US" w:eastAsia="zh-CN"/>
        </w:rPr>
      </w:pPr>
      <w:r w:rsidRPr="00234FA3">
        <w:rPr>
          <w:rFonts w:ascii="Arial" w:hAnsi="Arial" w:cs="Arial"/>
          <w:lang w:val="en-US" w:eastAsia="zh-CN"/>
        </w:rPr>
        <w:t xml:space="preserve">The third respondent in opposition argued that no meeting of the minds occurred when the agreement was signed because the mutual separation agreement mentions a retrenchment process. This is also supported by the parties' discussions before signing the agreement. The discussions centered </w:t>
      </w:r>
      <w:r w:rsidR="00DD0860">
        <w:rPr>
          <w:rFonts w:ascii="Arial" w:hAnsi="Arial" w:cs="Arial"/>
          <w:lang w:val="en-US" w:eastAsia="zh-CN"/>
        </w:rPr>
        <w:t>on the appellant's operational needs</w:t>
      </w:r>
      <w:r w:rsidRPr="00234FA3">
        <w:rPr>
          <w:rFonts w:ascii="Arial" w:hAnsi="Arial" w:cs="Arial"/>
          <w:lang w:val="en-US" w:eastAsia="zh-CN"/>
        </w:rPr>
        <w:t xml:space="preserve">, which required it to follow the section 189 process. It was claimed that the third respondent was unlawfully dismissed </w:t>
      </w:r>
      <w:r w:rsidRPr="00234FA3">
        <w:rPr>
          <w:rFonts w:ascii="Arial" w:hAnsi="Arial" w:cs="Arial"/>
          <w:lang w:val="en-US" w:eastAsia="zh-CN"/>
        </w:rPr>
        <w:lastRenderedPageBreak/>
        <w:t>because, according to him, there was still work at the Motheo site during the discussion. The move to the Northern Cape was uncertain, and Gray was unsure whe</w:t>
      </w:r>
      <w:r w:rsidR="004D0EDB" w:rsidRPr="00234FA3">
        <w:rPr>
          <w:rFonts w:ascii="Arial" w:hAnsi="Arial" w:cs="Arial"/>
          <w:lang w:val="en-US" w:eastAsia="zh-CN"/>
        </w:rPr>
        <w:t>n</w:t>
      </w:r>
      <w:r w:rsidRPr="00234FA3">
        <w:rPr>
          <w:rFonts w:ascii="Arial" w:hAnsi="Arial" w:cs="Arial"/>
          <w:lang w:val="en-US" w:eastAsia="zh-CN"/>
        </w:rPr>
        <w:t xml:space="preserve"> the third respondent would move there, meaning it could not be considered an alternative for the purpose of retrenchment under section 189 of the LRA.</w:t>
      </w:r>
      <w:r w:rsidR="00473FF5" w:rsidRPr="00234FA3">
        <w:rPr>
          <w:rFonts w:ascii="Arial" w:hAnsi="Arial" w:cs="Arial"/>
          <w:lang w:val="en-US" w:eastAsia="zh-CN"/>
        </w:rPr>
        <w:t xml:space="preserve">  </w:t>
      </w:r>
    </w:p>
    <w:p w14:paraId="4EF4017C"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u w:val="single"/>
          <w:lang w:val="en-US" w:eastAsia="zh-CN"/>
        </w:rPr>
      </w:pPr>
      <w:r w:rsidRPr="00234FA3">
        <w:rPr>
          <w:rFonts w:ascii="Arial" w:hAnsi="Arial" w:cs="Arial"/>
          <w:lang w:val="en-US" w:eastAsia="zh-CN"/>
        </w:rPr>
        <w:t xml:space="preserve">According to the third respondent, the correctness test would only apply if the court a </w:t>
      </w:r>
      <w:r w:rsidRPr="00A126A8">
        <w:rPr>
          <w:rFonts w:ascii="Arial" w:hAnsi="Arial" w:cs="Arial"/>
          <w:i/>
          <w:iCs/>
          <w:lang w:val="en-US" w:eastAsia="zh-CN"/>
        </w:rPr>
        <w:t>quo</w:t>
      </w:r>
      <w:r w:rsidRPr="00234FA3">
        <w:rPr>
          <w:rFonts w:ascii="Arial" w:hAnsi="Arial" w:cs="Arial"/>
          <w:lang w:val="en-US" w:eastAsia="zh-CN"/>
        </w:rPr>
        <w:t xml:space="preserve"> had determined that there was no dismissal. However, in this case, the court needed to assess the validity of a mutual separation agreement, which requires a reasonableness test rather than a correctness test, and it found the dismissal unfair. </w:t>
      </w:r>
    </w:p>
    <w:p w14:paraId="01E9CC44" w14:textId="77777777" w:rsidR="00D04803" w:rsidRPr="00234FA3" w:rsidRDefault="00D04803" w:rsidP="00234FA3">
      <w:pPr>
        <w:spacing w:before="240" w:after="120" w:line="360" w:lineRule="auto"/>
        <w:jc w:val="both"/>
        <w:rPr>
          <w:rFonts w:ascii="Arial" w:hAnsi="Arial" w:cs="Arial"/>
          <w:u w:val="single"/>
          <w:lang w:val="en-US" w:eastAsia="zh-CN"/>
        </w:rPr>
      </w:pPr>
      <w:r w:rsidRPr="00B049A6">
        <w:rPr>
          <w:rFonts w:ascii="Arial" w:hAnsi="Arial" w:cs="Arial"/>
          <w:highlight w:val="green"/>
          <w:u w:val="single"/>
          <w:lang w:val="en-US" w:eastAsia="zh-CN"/>
        </w:rPr>
        <w:t>Applicable Legal Principles</w:t>
      </w:r>
    </w:p>
    <w:p w14:paraId="014DF47F"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B049A6">
        <w:rPr>
          <w:rFonts w:ascii="Arial" w:hAnsi="Arial" w:cs="Arial"/>
          <w:highlight w:val="yellow"/>
          <w:lang w:val="en-US" w:eastAsia="zh-CN"/>
        </w:rPr>
        <w:t>Section 189</w:t>
      </w:r>
      <w:r w:rsidRPr="00234FA3">
        <w:rPr>
          <w:rFonts w:ascii="Arial" w:hAnsi="Arial" w:cs="Arial"/>
          <w:lang w:val="en-US" w:eastAsia="zh-CN"/>
        </w:rPr>
        <w:t xml:space="preserve"> of the LRA outlines the process an employer must follow when considering dismissing an employee for operational reasons. Failure to comply with the requirements outlined in section 189 of the LRA renders the dismissal unfair. Specifically, section 189(2) and (3) of the LRA specify that:</w:t>
      </w:r>
    </w:p>
    <w:p w14:paraId="26A94A90" w14:textId="77777777" w:rsidR="00DE554B" w:rsidRPr="00A126A8" w:rsidRDefault="00DE554B"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‘189.   Dismissals based on operational requirements.</w:t>
      </w:r>
    </w:p>
    <w:p w14:paraId="479E370B" w14:textId="77777777" w:rsidR="00D04803" w:rsidRPr="00A126A8" w:rsidRDefault="00DE554B"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(1) </w:t>
      </w:r>
      <w:r w:rsidRPr="00A126A8">
        <w:rPr>
          <w:rFonts w:ascii="Arial" w:hAnsi="Arial" w:cs="Arial"/>
          <w:sz w:val="22"/>
          <w:szCs w:val="22"/>
          <w:lang w:val="en-US" w:eastAsia="zh-CN"/>
        </w:rPr>
        <w:tab/>
        <w:t xml:space="preserve">…  </w:t>
      </w:r>
    </w:p>
    <w:p w14:paraId="1BB28BB2" w14:textId="77777777" w:rsidR="00DE554B" w:rsidRPr="00A126A8" w:rsidRDefault="00DE554B" w:rsidP="00A126A8">
      <w:pPr>
        <w:spacing w:before="240" w:after="120" w:line="360" w:lineRule="auto"/>
        <w:ind w:left="2160" w:hanging="720"/>
        <w:jc w:val="both"/>
        <w:rPr>
          <w:rFonts w:ascii="Arial" w:hAnsi="Arial" w:cs="Arial"/>
          <w:sz w:val="22"/>
          <w:szCs w:val="22"/>
          <w:lang w:eastAsia="zh-CN"/>
        </w:rPr>
      </w:pPr>
      <w:r w:rsidRPr="00A126A8">
        <w:rPr>
          <w:rFonts w:ascii="Arial" w:hAnsi="Arial" w:cs="Arial"/>
          <w:sz w:val="22"/>
          <w:szCs w:val="22"/>
          <w:lang w:eastAsia="zh-CN"/>
        </w:rPr>
        <w:t>(2)  </w:t>
      </w:r>
      <w:r w:rsidRPr="00A126A8">
        <w:rPr>
          <w:rFonts w:ascii="Arial" w:hAnsi="Arial" w:cs="Arial"/>
          <w:sz w:val="22"/>
          <w:szCs w:val="22"/>
          <w:lang w:eastAsia="zh-CN"/>
        </w:rPr>
        <w:tab/>
        <w:t>The employer and the other consulting parties must in the consultation envisaged by </w:t>
      </w:r>
      <w:hyperlink r:id="rId9" w:anchor="g1" w:history="1">
        <w:r w:rsidRPr="00A126A8">
          <w:rPr>
            <w:rStyle w:val="Hyperlink"/>
            <w:rFonts w:ascii="Arial" w:hAnsi="Arial" w:cs="Arial"/>
            <w:sz w:val="22"/>
            <w:szCs w:val="22"/>
            <w:lang w:eastAsia="zh-CN"/>
          </w:rPr>
          <w:t>subsections (1)</w:t>
        </w:r>
      </w:hyperlink>
      <w:r w:rsidRPr="00A126A8">
        <w:rPr>
          <w:rFonts w:ascii="Arial" w:hAnsi="Arial" w:cs="Arial"/>
          <w:sz w:val="22"/>
          <w:szCs w:val="22"/>
          <w:lang w:eastAsia="zh-CN"/>
        </w:rPr>
        <w:t> and </w:t>
      </w:r>
      <w:hyperlink r:id="rId10" w:anchor="gg" w:history="1">
        <w:r w:rsidRPr="00A126A8">
          <w:rPr>
            <w:rStyle w:val="Hyperlink"/>
            <w:rFonts w:ascii="Arial" w:hAnsi="Arial" w:cs="Arial"/>
            <w:sz w:val="22"/>
            <w:szCs w:val="22"/>
            <w:lang w:eastAsia="zh-CN"/>
          </w:rPr>
          <w:t>(3)</w:t>
        </w:r>
      </w:hyperlink>
      <w:r w:rsidRPr="00A126A8">
        <w:rPr>
          <w:rFonts w:ascii="Arial" w:hAnsi="Arial" w:cs="Arial"/>
          <w:sz w:val="22"/>
          <w:szCs w:val="22"/>
          <w:lang w:eastAsia="zh-CN"/>
        </w:rPr>
        <w:t> engage in a meaningful joint consensus-seeking process and attempt to reach consensus on—</w:t>
      </w:r>
    </w:p>
    <w:p w14:paraId="2BA5F851"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a</w:t>
      </w:r>
      <w:r w:rsidRPr="00A126A8">
        <w:rPr>
          <w:rFonts w:ascii="Arial" w:hAnsi="Arial" w:cs="Arial"/>
          <w:sz w:val="22"/>
          <w:szCs w:val="22"/>
          <w:lang w:eastAsia="zh-CN"/>
        </w:rPr>
        <w:t>)</w:t>
      </w:r>
      <w:r w:rsidRPr="00A126A8">
        <w:rPr>
          <w:rFonts w:ascii="Arial" w:hAnsi="Arial" w:cs="Arial"/>
          <w:sz w:val="22"/>
          <w:szCs w:val="22"/>
          <w:lang w:eastAsia="zh-CN"/>
        </w:rPr>
        <w:tab/>
        <w:t>appropriate measures—</w:t>
      </w:r>
    </w:p>
    <w:p w14:paraId="19340E4D" w14:textId="77777777" w:rsidR="00DE554B" w:rsidRPr="00A126A8" w:rsidRDefault="00DE554B" w:rsidP="00A126A8">
      <w:pPr>
        <w:spacing w:before="240" w:after="120" w:line="360" w:lineRule="auto"/>
        <w:ind w:left="3578" w:hanging="720"/>
        <w:jc w:val="both"/>
        <w:rPr>
          <w:rFonts w:ascii="Arial" w:hAnsi="Arial" w:cs="Arial"/>
          <w:sz w:val="22"/>
          <w:szCs w:val="22"/>
          <w:lang w:eastAsia="zh-CN"/>
        </w:rPr>
      </w:pPr>
      <w:r w:rsidRPr="00A126A8">
        <w:rPr>
          <w:rFonts w:ascii="Arial" w:hAnsi="Arial" w:cs="Arial"/>
          <w:sz w:val="22"/>
          <w:szCs w:val="22"/>
          <w:lang w:eastAsia="zh-CN"/>
        </w:rPr>
        <w:t>(i)</w:t>
      </w:r>
      <w:r w:rsidRPr="00A126A8">
        <w:rPr>
          <w:rFonts w:ascii="Arial" w:hAnsi="Arial" w:cs="Arial"/>
          <w:sz w:val="22"/>
          <w:szCs w:val="22"/>
          <w:lang w:eastAsia="zh-CN"/>
        </w:rPr>
        <w:tab/>
        <w:t>to avoid the </w:t>
      </w:r>
      <w:r w:rsidRPr="00A126A8">
        <w:rPr>
          <w:rFonts w:ascii="Arial" w:hAnsi="Arial" w:cs="Arial"/>
          <w:i/>
          <w:iCs/>
          <w:sz w:val="22"/>
          <w:szCs w:val="22"/>
          <w:lang w:eastAsia="zh-CN"/>
        </w:rPr>
        <w:t>dismissals</w:t>
      </w:r>
      <w:r w:rsidRPr="00A126A8">
        <w:rPr>
          <w:rFonts w:ascii="Arial" w:hAnsi="Arial" w:cs="Arial"/>
          <w:sz w:val="22"/>
          <w:szCs w:val="22"/>
          <w:lang w:eastAsia="zh-CN"/>
        </w:rPr>
        <w:t>;</w:t>
      </w:r>
    </w:p>
    <w:p w14:paraId="7D154F66" w14:textId="77777777" w:rsidR="00DE554B" w:rsidRPr="00A126A8" w:rsidRDefault="00DE554B" w:rsidP="00A126A8">
      <w:pPr>
        <w:spacing w:before="240" w:after="120" w:line="360" w:lineRule="auto"/>
        <w:ind w:left="3578" w:hanging="720"/>
        <w:jc w:val="both"/>
        <w:rPr>
          <w:rFonts w:ascii="Arial" w:hAnsi="Arial" w:cs="Arial"/>
          <w:sz w:val="22"/>
          <w:szCs w:val="22"/>
          <w:lang w:eastAsia="zh-CN"/>
        </w:rPr>
      </w:pPr>
      <w:r w:rsidRPr="00A126A8">
        <w:rPr>
          <w:rFonts w:ascii="Arial" w:hAnsi="Arial" w:cs="Arial"/>
          <w:sz w:val="22"/>
          <w:szCs w:val="22"/>
          <w:lang w:eastAsia="zh-CN"/>
        </w:rPr>
        <w:t>(ii)</w:t>
      </w:r>
      <w:r w:rsidRPr="00A126A8">
        <w:rPr>
          <w:rFonts w:ascii="Arial" w:hAnsi="Arial" w:cs="Arial"/>
          <w:sz w:val="22"/>
          <w:szCs w:val="22"/>
          <w:lang w:eastAsia="zh-CN"/>
        </w:rPr>
        <w:tab/>
        <w:t>to minimise the number of </w:t>
      </w:r>
      <w:r w:rsidRPr="00A126A8">
        <w:rPr>
          <w:rFonts w:ascii="Arial" w:hAnsi="Arial" w:cs="Arial"/>
          <w:i/>
          <w:iCs/>
          <w:sz w:val="22"/>
          <w:szCs w:val="22"/>
          <w:lang w:eastAsia="zh-CN"/>
        </w:rPr>
        <w:t>dismissals</w:t>
      </w:r>
      <w:r w:rsidRPr="00A126A8">
        <w:rPr>
          <w:rFonts w:ascii="Arial" w:hAnsi="Arial" w:cs="Arial"/>
          <w:sz w:val="22"/>
          <w:szCs w:val="22"/>
          <w:lang w:eastAsia="zh-CN"/>
        </w:rPr>
        <w:t>;</w:t>
      </w:r>
    </w:p>
    <w:p w14:paraId="3593FB6F" w14:textId="77777777" w:rsidR="00DE554B" w:rsidRPr="00A126A8" w:rsidRDefault="00DE554B" w:rsidP="00A126A8">
      <w:pPr>
        <w:spacing w:before="240" w:after="120" w:line="360" w:lineRule="auto"/>
        <w:ind w:left="3578" w:hanging="720"/>
        <w:jc w:val="both"/>
        <w:rPr>
          <w:rFonts w:ascii="Arial" w:hAnsi="Arial" w:cs="Arial"/>
          <w:sz w:val="22"/>
          <w:szCs w:val="22"/>
          <w:lang w:eastAsia="zh-CN"/>
        </w:rPr>
      </w:pPr>
      <w:r w:rsidRPr="00A126A8">
        <w:rPr>
          <w:rFonts w:ascii="Arial" w:hAnsi="Arial" w:cs="Arial"/>
          <w:sz w:val="22"/>
          <w:szCs w:val="22"/>
          <w:lang w:eastAsia="zh-CN"/>
        </w:rPr>
        <w:t>(iii)</w:t>
      </w:r>
      <w:r w:rsidRPr="00A126A8">
        <w:rPr>
          <w:rFonts w:ascii="Arial" w:hAnsi="Arial" w:cs="Arial"/>
          <w:sz w:val="22"/>
          <w:szCs w:val="22"/>
          <w:lang w:eastAsia="zh-CN"/>
        </w:rPr>
        <w:tab/>
        <w:t>to change the timing of the </w:t>
      </w:r>
      <w:r w:rsidRPr="00A126A8">
        <w:rPr>
          <w:rFonts w:ascii="Arial" w:hAnsi="Arial" w:cs="Arial"/>
          <w:i/>
          <w:iCs/>
          <w:sz w:val="22"/>
          <w:szCs w:val="22"/>
          <w:lang w:eastAsia="zh-CN"/>
        </w:rPr>
        <w:t>dismissals</w:t>
      </w:r>
      <w:r w:rsidRPr="00A126A8">
        <w:rPr>
          <w:rFonts w:ascii="Arial" w:hAnsi="Arial" w:cs="Arial"/>
          <w:sz w:val="22"/>
          <w:szCs w:val="22"/>
          <w:lang w:eastAsia="zh-CN"/>
        </w:rPr>
        <w:t>; and</w:t>
      </w:r>
    </w:p>
    <w:p w14:paraId="0921A313" w14:textId="77777777" w:rsidR="00DE554B" w:rsidRPr="00A126A8" w:rsidRDefault="00DE554B" w:rsidP="00A126A8">
      <w:pPr>
        <w:spacing w:before="240" w:after="120" w:line="360" w:lineRule="auto"/>
        <w:ind w:left="2160" w:hanging="720"/>
        <w:jc w:val="both"/>
        <w:rPr>
          <w:rFonts w:ascii="Arial" w:hAnsi="Arial" w:cs="Arial"/>
          <w:sz w:val="22"/>
          <w:szCs w:val="22"/>
          <w:lang w:eastAsia="zh-CN"/>
        </w:rPr>
      </w:pPr>
      <w:r w:rsidRPr="00A126A8">
        <w:rPr>
          <w:rFonts w:ascii="Arial" w:hAnsi="Arial" w:cs="Arial"/>
          <w:sz w:val="22"/>
          <w:szCs w:val="22"/>
          <w:lang w:eastAsia="zh-CN"/>
        </w:rPr>
        <w:t>(iv)</w:t>
      </w:r>
      <w:r w:rsidRPr="00A126A8">
        <w:rPr>
          <w:rFonts w:ascii="Arial" w:hAnsi="Arial" w:cs="Arial"/>
          <w:sz w:val="22"/>
          <w:szCs w:val="22"/>
          <w:lang w:eastAsia="zh-CN"/>
        </w:rPr>
        <w:tab/>
        <w:t>to mitigate the adverse effects of the </w:t>
      </w:r>
      <w:r w:rsidRPr="00A126A8">
        <w:rPr>
          <w:rFonts w:ascii="Arial" w:hAnsi="Arial" w:cs="Arial"/>
          <w:i/>
          <w:iCs/>
          <w:sz w:val="22"/>
          <w:szCs w:val="22"/>
          <w:lang w:eastAsia="zh-CN"/>
        </w:rPr>
        <w:t>dismissals</w:t>
      </w:r>
      <w:r w:rsidRPr="00A126A8">
        <w:rPr>
          <w:rFonts w:ascii="Arial" w:hAnsi="Arial" w:cs="Arial"/>
          <w:sz w:val="22"/>
          <w:szCs w:val="22"/>
          <w:lang w:eastAsia="zh-CN"/>
        </w:rPr>
        <w:t>;</w:t>
      </w:r>
    </w:p>
    <w:p w14:paraId="6A79C9E5"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b</w:t>
      </w:r>
      <w:r w:rsidRPr="00A126A8">
        <w:rPr>
          <w:rFonts w:ascii="Arial" w:hAnsi="Arial" w:cs="Arial"/>
          <w:sz w:val="22"/>
          <w:szCs w:val="22"/>
          <w:lang w:eastAsia="zh-CN"/>
        </w:rPr>
        <w:t>)</w:t>
      </w:r>
      <w:r w:rsidRPr="00A126A8">
        <w:rPr>
          <w:rFonts w:ascii="Arial" w:hAnsi="Arial" w:cs="Arial"/>
          <w:sz w:val="22"/>
          <w:szCs w:val="22"/>
          <w:lang w:eastAsia="zh-CN"/>
        </w:rPr>
        <w:tab/>
        <w:t>the method for selecting the </w:t>
      </w:r>
      <w:r w:rsidRPr="00A126A8">
        <w:rPr>
          <w:rFonts w:ascii="Arial" w:hAnsi="Arial" w:cs="Arial"/>
          <w:i/>
          <w:iCs/>
          <w:sz w:val="22"/>
          <w:szCs w:val="22"/>
          <w:lang w:eastAsia="zh-CN"/>
        </w:rPr>
        <w:t>employees </w:t>
      </w:r>
      <w:r w:rsidRPr="00A126A8">
        <w:rPr>
          <w:rFonts w:ascii="Arial" w:hAnsi="Arial" w:cs="Arial"/>
          <w:sz w:val="22"/>
          <w:szCs w:val="22"/>
          <w:lang w:eastAsia="zh-CN"/>
        </w:rPr>
        <w:t>to be dismissed; and</w:t>
      </w:r>
    </w:p>
    <w:p w14:paraId="5D4346A8"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c</w:t>
      </w:r>
      <w:r w:rsidRPr="00A126A8">
        <w:rPr>
          <w:rFonts w:ascii="Arial" w:hAnsi="Arial" w:cs="Arial"/>
          <w:sz w:val="22"/>
          <w:szCs w:val="22"/>
          <w:lang w:eastAsia="zh-CN"/>
        </w:rPr>
        <w:t>)</w:t>
      </w:r>
      <w:r w:rsidRPr="00A126A8">
        <w:rPr>
          <w:rFonts w:ascii="Arial" w:hAnsi="Arial" w:cs="Arial"/>
          <w:sz w:val="22"/>
          <w:szCs w:val="22"/>
          <w:lang w:eastAsia="zh-CN"/>
        </w:rPr>
        <w:tab/>
        <w:t>the severance pay for dismissed </w:t>
      </w:r>
      <w:r w:rsidRPr="00A126A8">
        <w:rPr>
          <w:rFonts w:ascii="Arial" w:hAnsi="Arial" w:cs="Arial"/>
          <w:i/>
          <w:iCs/>
          <w:sz w:val="22"/>
          <w:szCs w:val="22"/>
          <w:lang w:eastAsia="zh-CN"/>
        </w:rPr>
        <w:t>employees</w:t>
      </w:r>
      <w:r w:rsidRPr="00A126A8">
        <w:rPr>
          <w:rFonts w:ascii="Arial" w:hAnsi="Arial" w:cs="Arial"/>
          <w:sz w:val="22"/>
          <w:szCs w:val="22"/>
          <w:lang w:eastAsia="zh-CN"/>
        </w:rPr>
        <w:t>.</w:t>
      </w:r>
    </w:p>
    <w:p w14:paraId="78FA8D85" w14:textId="77777777" w:rsidR="00DE554B" w:rsidRPr="00A126A8" w:rsidRDefault="00DE554B" w:rsidP="00A126A8">
      <w:pPr>
        <w:spacing w:before="240" w:after="120" w:line="360" w:lineRule="auto"/>
        <w:ind w:left="2160" w:hanging="720"/>
        <w:jc w:val="both"/>
        <w:rPr>
          <w:rFonts w:ascii="Arial" w:hAnsi="Arial" w:cs="Arial"/>
          <w:sz w:val="22"/>
          <w:szCs w:val="22"/>
          <w:lang w:eastAsia="zh-CN"/>
        </w:rPr>
      </w:pPr>
      <w:r w:rsidRPr="00A126A8">
        <w:rPr>
          <w:rFonts w:ascii="Arial" w:hAnsi="Arial" w:cs="Arial"/>
          <w:sz w:val="22"/>
          <w:szCs w:val="22"/>
          <w:lang w:eastAsia="zh-CN"/>
        </w:rPr>
        <w:lastRenderedPageBreak/>
        <w:t>(3)  </w:t>
      </w:r>
      <w:r w:rsidRPr="00A126A8">
        <w:rPr>
          <w:rFonts w:ascii="Arial" w:hAnsi="Arial" w:cs="Arial"/>
          <w:sz w:val="22"/>
          <w:szCs w:val="22"/>
          <w:lang w:eastAsia="zh-CN"/>
        </w:rPr>
        <w:tab/>
        <w:t>The employer must issue a written notice inviting the other consulting party to consult with it and disclose in writing all relevant information, including, but not limited to—</w:t>
      </w:r>
    </w:p>
    <w:p w14:paraId="3F141623"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a</w:t>
      </w:r>
      <w:r w:rsidRPr="00A126A8">
        <w:rPr>
          <w:rFonts w:ascii="Arial" w:hAnsi="Arial" w:cs="Arial"/>
          <w:sz w:val="22"/>
          <w:szCs w:val="22"/>
          <w:lang w:eastAsia="zh-CN"/>
        </w:rPr>
        <w:t>)</w:t>
      </w:r>
      <w:r w:rsidRPr="00A126A8">
        <w:rPr>
          <w:rFonts w:ascii="Arial" w:hAnsi="Arial" w:cs="Arial"/>
          <w:sz w:val="22"/>
          <w:szCs w:val="22"/>
          <w:lang w:eastAsia="zh-CN"/>
        </w:rPr>
        <w:tab/>
        <w:t>the reasons for the proposed </w:t>
      </w:r>
      <w:r w:rsidRPr="00A126A8">
        <w:rPr>
          <w:rFonts w:ascii="Arial" w:hAnsi="Arial" w:cs="Arial"/>
          <w:i/>
          <w:iCs/>
          <w:sz w:val="22"/>
          <w:szCs w:val="22"/>
          <w:lang w:eastAsia="zh-CN"/>
        </w:rPr>
        <w:t>dismissals</w:t>
      </w:r>
      <w:r w:rsidRPr="00A126A8">
        <w:rPr>
          <w:rFonts w:ascii="Arial" w:hAnsi="Arial" w:cs="Arial"/>
          <w:sz w:val="22"/>
          <w:szCs w:val="22"/>
          <w:lang w:eastAsia="zh-CN"/>
        </w:rPr>
        <w:t>;</w:t>
      </w:r>
    </w:p>
    <w:p w14:paraId="00A20912"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b</w:t>
      </w:r>
      <w:r w:rsidRPr="00A126A8">
        <w:rPr>
          <w:rFonts w:ascii="Arial" w:hAnsi="Arial" w:cs="Arial"/>
          <w:sz w:val="22"/>
          <w:szCs w:val="22"/>
          <w:lang w:eastAsia="zh-CN"/>
        </w:rPr>
        <w:t>)</w:t>
      </w:r>
      <w:r w:rsidRPr="00A126A8">
        <w:rPr>
          <w:rFonts w:ascii="Arial" w:hAnsi="Arial" w:cs="Arial"/>
          <w:sz w:val="22"/>
          <w:szCs w:val="22"/>
          <w:lang w:eastAsia="zh-CN"/>
        </w:rPr>
        <w:tab/>
        <w:t>the alternatives that the employer considered before proposing the </w:t>
      </w:r>
      <w:r w:rsidRPr="00A126A8">
        <w:rPr>
          <w:rFonts w:ascii="Arial" w:hAnsi="Arial" w:cs="Arial"/>
          <w:i/>
          <w:iCs/>
          <w:sz w:val="22"/>
          <w:szCs w:val="22"/>
          <w:lang w:eastAsia="zh-CN"/>
        </w:rPr>
        <w:t>dismissals</w:t>
      </w:r>
      <w:r w:rsidRPr="00A126A8">
        <w:rPr>
          <w:rFonts w:ascii="Arial" w:hAnsi="Arial" w:cs="Arial"/>
          <w:sz w:val="22"/>
          <w:szCs w:val="22"/>
          <w:lang w:eastAsia="zh-CN"/>
        </w:rPr>
        <w:t>, and the reasons for rejecting each of those alternatives;</w:t>
      </w:r>
    </w:p>
    <w:p w14:paraId="6342AE89"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c</w:t>
      </w:r>
      <w:r w:rsidRPr="00A126A8">
        <w:rPr>
          <w:rFonts w:ascii="Arial" w:hAnsi="Arial" w:cs="Arial"/>
          <w:sz w:val="22"/>
          <w:szCs w:val="22"/>
          <w:lang w:eastAsia="zh-CN"/>
        </w:rPr>
        <w:t>)</w:t>
      </w:r>
      <w:r w:rsidRPr="00A126A8">
        <w:rPr>
          <w:rFonts w:ascii="Arial" w:hAnsi="Arial" w:cs="Arial"/>
          <w:sz w:val="22"/>
          <w:szCs w:val="22"/>
          <w:lang w:eastAsia="zh-CN"/>
        </w:rPr>
        <w:tab/>
        <w:t>the number of </w:t>
      </w:r>
      <w:r w:rsidRPr="00A126A8">
        <w:rPr>
          <w:rFonts w:ascii="Arial" w:hAnsi="Arial" w:cs="Arial"/>
          <w:i/>
          <w:iCs/>
          <w:sz w:val="22"/>
          <w:szCs w:val="22"/>
          <w:lang w:eastAsia="zh-CN"/>
        </w:rPr>
        <w:t>employees </w:t>
      </w:r>
      <w:r w:rsidRPr="00A126A8">
        <w:rPr>
          <w:rFonts w:ascii="Arial" w:hAnsi="Arial" w:cs="Arial"/>
          <w:sz w:val="22"/>
          <w:szCs w:val="22"/>
          <w:lang w:eastAsia="zh-CN"/>
        </w:rPr>
        <w:t>likely to be affected and the job categories in which they are employed;</w:t>
      </w:r>
    </w:p>
    <w:p w14:paraId="102EA40D"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d</w:t>
      </w:r>
      <w:r w:rsidRPr="00A126A8">
        <w:rPr>
          <w:rFonts w:ascii="Arial" w:hAnsi="Arial" w:cs="Arial"/>
          <w:sz w:val="22"/>
          <w:szCs w:val="22"/>
          <w:lang w:eastAsia="zh-CN"/>
        </w:rPr>
        <w:t>)</w:t>
      </w:r>
      <w:r w:rsidRPr="00A126A8">
        <w:rPr>
          <w:rFonts w:ascii="Arial" w:hAnsi="Arial" w:cs="Arial"/>
          <w:sz w:val="22"/>
          <w:szCs w:val="22"/>
          <w:lang w:eastAsia="zh-CN"/>
        </w:rPr>
        <w:tab/>
        <w:t>the proposed method for selecting which </w:t>
      </w:r>
      <w:r w:rsidRPr="00A126A8">
        <w:rPr>
          <w:rFonts w:ascii="Arial" w:hAnsi="Arial" w:cs="Arial"/>
          <w:i/>
          <w:iCs/>
          <w:sz w:val="22"/>
          <w:szCs w:val="22"/>
          <w:lang w:eastAsia="zh-CN"/>
        </w:rPr>
        <w:t>employees </w:t>
      </w:r>
      <w:r w:rsidRPr="00A126A8">
        <w:rPr>
          <w:rFonts w:ascii="Arial" w:hAnsi="Arial" w:cs="Arial"/>
          <w:sz w:val="22"/>
          <w:szCs w:val="22"/>
          <w:lang w:eastAsia="zh-CN"/>
        </w:rPr>
        <w:t>to dismiss;</w:t>
      </w:r>
    </w:p>
    <w:p w14:paraId="68584356"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e</w:t>
      </w:r>
      <w:r w:rsidRPr="00A126A8">
        <w:rPr>
          <w:rFonts w:ascii="Arial" w:hAnsi="Arial" w:cs="Arial"/>
          <w:sz w:val="22"/>
          <w:szCs w:val="22"/>
          <w:lang w:eastAsia="zh-CN"/>
        </w:rPr>
        <w:t>)</w:t>
      </w:r>
      <w:r w:rsidRPr="00A126A8">
        <w:rPr>
          <w:rFonts w:ascii="Arial" w:hAnsi="Arial" w:cs="Arial"/>
          <w:sz w:val="22"/>
          <w:szCs w:val="22"/>
          <w:lang w:eastAsia="zh-CN"/>
        </w:rPr>
        <w:tab/>
        <w:t>the time when, or the period during which, the </w:t>
      </w:r>
      <w:r w:rsidRPr="00A126A8">
        <w:rPr>
          <w:rFonts w:ascii="Arial" w:hAnsi="Arial" w:cs="Arial"/>
          <w:i/>
          <w:iCs/>
          <w:sz w:val="22"/>
          <w:szCs w:val="22"/>
          <w:lang w:eastAsia="zh-CN"/>
        </w:rPr>
        <w:t>dismissals </w:t>
      </w:r>
      <w:r w:rsidRPr="00A126A8">
        <w:rPr>
          <w:rFonts w:ascii="Arial" w:hAnsi="Arial" w:cs="Arial"/>
          <w:sz w:val="22"/>
          <w:szCs w:val="22"/>
          <w:lang w:eastAsia="zh-CN"/>
        </w:rPr>
        <w:t>are likely to take effect;</w:t>
      </w:r>
    </w:p>
    <w:p w14:paraId="1D1C386D"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f</w:t>
      </w:r>
      <w:r w:rsidRPr="00A126A8">
        <w:rPr>
          <w:rFonts w:ascii="Arial" w:hAnsi="Arial" w:cs="Arial"/>
          <w:sz w:val="22"/>
          <w:szCs w:val="22"/>
          <w:lang w:eastAsia="zh-CN"/>
        </w:rPr>
        <w:t>)</w:t>
      </w:r>
      <w:r w:rsidRPr="00A126A8">
        <w:rPr>
          <w:rFonts w:ascii="Arial" w:hAnsi="Arial" w:cs="Arial"/>
          <w:sz w:val="22"/>
          <w:szCs w:val="22"/>
          <w:lang w:eastAsia="zh-CN"/>
        </w:rPr>
        <w:tab/>
        <w:t>the severance pay proposed;</w:t>
      </w:r>
    </w:p>
    <w:p w14:paraId="5EAD5C93"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g</w:t>
      </w:r>
      <w:r w:rsidRPr="00A126A8">
        <w:rPr>
          <w:rFonts w:ascii="Arial" w:hAnsi="Arial" w:cs="Arial"/>
          <w:sz w:val="22"/>
          <w:szCs w:val="22"/>
          <w:lang w:eastAsia="zh-CN"/>
        </w:rPr>
        <w:t>)</w:t>
      </w:r>
      <w:r w:rsidRPr="00A126A8">
        <w:rPr>
          <w:rFonts w:ascii="Arial" w:hAnsi="Arial" w:cs="Arial"/>
          <w:sz w:val="22"/>
          <w:szCs w:val="22"/>
          <w:lang w:eastAsia="zh-CN"/>
        </w:rPr>
        <w:tab/>
        <w:t>any assistance that the employer proposes to offer to the </w:t>
      </w:r>
      <w:r w:rsidRPr="00A126A8">
        <w:rPr>
          <w:rFonts w:ascii="Arial" w:hAnsi="Arial" w:cs="Arial"/>
          <w:i/>
          <w:iCs/>
          <w:sz w:val="22"/>
          <w:szCs w:val="22"/>
          <w:lang w:eastAsia="zh-CN"/>
        </w:rPr>
        <w:t>employees </w:t>
      </w:r>
      <w:r w:rsidRPr="00A126A8">
        <w:rPr>
          <w:rFonts w:ascii="Arial" w:hAnsi="Arial" w:cs="Arial"/>
          <w:sz w:val="22"/>
          <w:szCs w:val="22"/>
          <w:lang w:eastAsia="zh-CN"/>
        </w:rPr>
        <w:t>likely to be dismissed;</w:t>
      </w:r>
    </w:p>
    <w:p w14:paraId="3BC56F56"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h</w:t>
      </w:r>
      <w:r w:rsidRPr="00A126A8">
        <w:rPr>
          <w:rFonts w:ascii="Arial" w:hAnsi="Arial" w:cs="Arial"/>
          <w:sz w:val="22"/>
          <w:szCs w:val="22"/>
          <w:lang w:eastAsia="zh-CN"/>
        </w:rPr>
        <w:t>)</w:t>
      </w:r>
      <w:r w:rsidRPr="00A126A8">
        <w:rPr>
          <w:rFonts w:ascii="Arial" w:hAnsi="Arial" w:cs="Arial"/>
          <w:sz w:val="22"/>
          <w:szCs w:val="22"/>
          <w:lang w:eastAsia="zh-CN"/>
        </w:rPr>
        <w:tab/>
        <w:t>the possibility of the future re-employment of the </w:t>
      </w:r>
      <w:r w:rsidRPr="00A126A8">
        <w:rPr>
          <w:rFonts w:ascii="Arial" w:hAnsi="Arial" w:cs="Arial"/>
          <w:i/>
          <w:iCs/>
          <w:sz w:val="22"/>
          <w:szCs w:val="22"/>
          <w:lang w:eastAsia="zh-CN"/>
        </w:rPr>
        <w:t>employees </w:t>
      </w:r>
      <w:r w:rsidRPr="00A126A8">
        <w:rPr>
          <w:rFonts w:ascii="Arial" w:hAnsi="Arial" w:cs="Arial"/>
          <w:sz w:val="22"/>
          <w:szCs w:val="22"/>
          <w:lang w:eastAsia="zh-CN"/>
        </w:rPr>
        <w:t>who are dismissed;</w:t>
      </w:r>
    </w:p>
    <w:p w14:paraId="204CFA5B"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i</w:t>
      </w:r>
      <w:r w:rsidRPr="00A126A8">
        <w:rPr>
          <w:rFonts w:ascii="Arial" w:hAnsi="Arial" w:cs="Arial"/>
          <w:sz w:val="22"/>
          <w:szCs w:val="22"/>
          <w:lang w:eastAsia="zh-CN"/>
        </w:rPr>
        <w:t>)</w:t>
      </w:r>
      <w:r w:rsidRPr="00A126A8">
        <w:rPr>
          <w:rFonts w:ascii="Arial" w:hAnsi="Arial" w:cs="Arial"/>
          <w:sz w:val="22"/>
          <w:szCs w:val="22"/>
          <w:lang w:eastAsia="zh-CN"/>
        </w:rPr>
        <w:tab/>
        <w:t>the number of </w:t>
      </w:r>
      <w:r w:rsidRPr="00A126A8">
        <w:rPr>
          <w:rFonts w:ascii="Arial" w:hAnsi="Arial" w:cs="Arial"/>
          <w:i/>
          <w:iCs/>
          <w:sz w:val="22"/>
          <w:szCs w:val="22"/>
          <w:lang w:eastAsia="zh-CN"/>
        </w:rPr>
        <w:t>employees </w:t>
      </w:r>
      <w:r w:rsidRPr="00A126A8">
        <w:rPr>
          <w:rFonts w:ascii="Arial" w:hAnsi="Arial" w:cs="Arial"/>
          <w:sz w:val="22"/>
          <w:szCs w:val="22"/>
          <w:lang w:eastAsia="zh-CN"/>
        </w:rPr>
        <w:t>employed by the employer; and</w:t>
      </w:r>
    </w:p>
    <w:p w14:paraId="442D2CCE" w14:textId="77777777" w:rsidR="00DE554B" w:rsidRPr="00A126A8" w:rsidRDefault="00DE554B" w:rsidP="00A126A8">
      <w:pPr>
        <w:spacing w:before="240" w:after="120" w:line="360" w:lineRule="auto"/>
        <w:ind w:left="2880" w:hanging="720"/>
        <w:jc w:val="both"/>
        <w:rPr>
          <w:rFonts w:ascii="Arial" w:hAnsi="Arial" w:cs="Arial"/>
          <w:sz w:val="22"/>
          <w:szCs w:val="22"/>
          <w:lang w:eastAsia="zh-CN"/>
        </w:rPr>
      </w:pPr>
      <w:r w:rsidRPr="00A126A8">
        <w:rPr>
          <w:rFonts w:ascii="Arial" w:hAnsi="Arial" w:cs="Arial"/>
          <w:sz w:val="22"/>
          <w:szCs w:val="22"/>
          <w:lang w:eastAsia="zh-CN"/>
        </w:rPr>
        <w:t>(</w:t>
      </w:r>
      <w:r w:rsidRPr="00A126A8">
        <w:rPr>
          <w:rFonts w:ascii="Arial" w:hAnsi="Arial" w:cs="Arial"/>
          <w:i/>
          <w:iCs/>
          <w:sz w:val="22"/>
          <w:szCs w:val="22"/>
          <w:lang w:eastAsia="zh-CN"/>
        </w:rPr>
        <w:t>j</w:t>
      </w:r>
      <w:r w:rsidRPr="00A126A8">
        <w:rPr>
          <w:rFonts w:ascii="Arial" w:hAnsi="Arial" w:cs="Arial"/>
          <w:sz w:val="22"/>
          <w:szCs w:val="22"/>
          <w:lang w:eastAsia="zh-CN"/>
        </w:rPr>
        <w:t>)</w:t>
      </w:r>
      <w:r w:rsidRPr="00A126A8">
        <w:rPr>
          <w:rFonts w:ascii="Arial" w:hAnsi="Arial" w:cs="Arial"/>
          <w:sz w:val="22"/>
          <w:szCs w:val="22"/>
          <w:lang w:eastAsia="zh-CN"/>
        </w:rPr>
        <w:tab/>
        <w:t>the number of </w:t>
      </w:r>
      <w:r w:rsidRPr="00A126A8">
        <w:rPr>
          <w:rFonts w:ascii="Arial" w:hAnsi="Arial" w:cs="Arial"/>
          <w:i/>
          <w:iCs/>
          <w:sz w:val="22"/>
          <w:szCs w:val="22"/>
          <w:lang w:eastAsia="zh-CN"/>
        </w:rPr>
        <w:t>employees </w:t>
      </w:r>
      <w:r w:rsidRPr="00A126A8">
        <w:rPr>
          <w:rFonts w:ascii="Arial" w:hAnsi="Arial" w:cs="Arial"/>
          <w:sz w:val="22"/>
          <w:szCs w:val="22"/>
          <w:lang w:eastAsia="zh-CN"/>
        </w:rPr>
        <w:t>that the employer has dismissed for reasons based on its </w:t>
      </w:r>
      <w:r w:rsidRPr="00A126A8">
        <w:rPr>
          <w:rFonts w:ascii="Arial" w:hAnsi="Arial" w:cs="Arial"/>
          <w:i/>
          <w:iCs/>
          <w:sz w:val="22"/>
          <w:szCs w:val="22"/>
          <w:lang w:eastAsia="zh-CN"/>
        </w:rPr>
        <w:t>operational requirements </w:t>
      </w:r>
      <w:r w:rsidRPr="00A126A8">
        <w:rPr>
          <w:rFonts w:ascii="Arial" w:hAnsi="Arial" w:cs="Arial"/>
          <w:sz w:val="22"/>
          <w:szCs w:val="22"/>
          <w:lang w:eastAsia="zh-CN"/>
        </w:rPr>
        <w:t>in the preceding 12 months.</w:t>
      </w:r>
      <w:r w:rsidRPr="00234FA3">
        <w:rPr>
          <w:rFonts w:ascii="Arial" w:hAnsi="Arial" w:cs="Arial"/>
          <w:sz w:val="22"/>
          <w:szCs w:val="22"/>
          <w:lang w:eastAsia="zh-CN"/>
        </w:rPr>
        <w:t>’</w:t>
      </w:r>
    </w:p>
    <w:p w14:paraId="141CBA13" w14:textId="77777777" w:rsidR="00DE554B"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In dealing with the privity and </w:t>
      </w:r>
      <w:r w:rsidRPr="00B049A6">
        <w:rPr>
          <w:rFonts w:ascii="Arial" w:hAnsi="Arial" w:cs="Arial"/>
          <w:highlight w:val="yellow"/>
          <w:lang w:val="en-US" w:eastAsia="zh-CN"/>
        </w:rPr>
        <w:t>sanctity of</w:t>
      </w:r>
      <w:r w:rsidR="00193B03" w:rsidRPr="00B049A6">
        <w:rPr>
          <w:rFonts w:ascii="Arial" w:hAnsi="Arial" w:cs="Arial"/>
          <w:highlight w:val="yellow"/>
          <w:lang w:val="en-US" w:eastAsia="zh-CN"/>
        </w:rPr>
        <w:t xml:space="preserve"> a</w:t>
      </w:r>
      <w:r w:rsidRPr="00B049A6">
        <w:rPr>
          <w:rFonts w:ascii="Arial" w:hAnsi="Arial" w:cs="Arial"/>
          <w:highlight w:val="yellow"/>
          <w:lang w:val="en-US" w:eastAsia="zh-CN"/>
        </w:rPr>
        <w:t xml:space="preserve"> contract</w:t>
      </w:r>
      <w:r w:rsidRPr="00234FA3">
        <w:rPr>
          <w:rFonts w:ascii="Arial" w:hAnsi="Arial" w:cs="Arial"/>
          <w:lang w:val="en-US" w:eastAsia="zh-CN"/>
        </w:rPr>
        <w:t xml:space="preserve">, the Supreme Court of Appeal in </w:t>
      </w:r>
      <w:r w:rsidRPr="00234FA3">
        <w:rPr>
          <w:rFonts w:ascii="Arial" w:hAnsi="Arial" w:cs="Arial"/>
          <w:i/>
          <w:iCs/>
          <w:lang w:val="en-US" w:eastAsia="zh-CN"/>
        </w:rPr>
        <w:t>Moha</w:t>
      </w:r>
      <w:r w:rsidR="00DE554B" w:rsidRPr="00234FA3">
        <w:rPr>
          <w:rFonts w:ascii="Arial" w:hAnsi="Arial" w:cs="Arial"/>
          <w:i/>
          <w:iCs/>
          <w:lang w:val="en-US" w:eastAsia="zh-CN"/>
        </w:rPr>
        <w:t>m</w:t>
      </w:r>
      <w:r w:rsidRPr="00234FA3">
        <w:rPr>
          <w:rFonts w:ascii="Arial" w:hAnsi="Arial" w:cs="Arial"/>
          <w:i/>
          <w:iCs/>
          <w:lang w:val="en-US" w:eastAsia="zh-CN"/>
        </w:rPr>
        <w:t>ed’s Leisure Holdings (Pty) Ltd v Southern Sun Hotels Interests (Pty) Ltd</w:t>
      </w:r>
      <w:r w:rsidR="00DE554B" w:rsidRPr="00234FA3">
        <w:rPr>
          <w:rStyle w:val="FootnoteReference"/>
          <w:rFonts w:ascii="Arial" w:hAnsi="Arial" w:cs="Arial"/>
          <w:i/>
          <w:iCs/>
          <w:lang w:val="en-US" w:eastAsia="zh-CN"/>
        </w:rPr>
        <w:footnoteReference w:id="2"/>
      </w:r>
      <w:r w:rsidRPr="00234FA3">
        <w:rPr>
          <w:rFonts w:ascii="Arial" w:hAnsi="Arial" w:cs="Arial"/>
          <w:i/>
          <w:iCs/>
          <w:lang w:val="en-US" w:eastAsia="zh-CN"/>
        </w:rPr>
        <w:t xml:space="preserve"> </w:t>
      </w:r>
      <w:r w:rsidRPr="00234FA3">
        <w:rPr>
          <w:rFonts w:ascii="Arial" w:hAnsi="Arial" w:cs="Arial"/>
          <w:lang w:val="en-US" w:eastAsia="zh-CN"/>
        </w:rPr>
        <w:t xml:space="preserve"> stated that: </w:t>
      </w:r>
    </w:p>
    <w:p w14:paraId="2D1B1936" w14:textId="77777777" w:rsidR="00280EC2" w:rsidRPr="00234FA3" w:rsidRDefault="00DE554B" w:rsidP="00A126A8">
      <w:pPr>
        <w:pStyle w:val="ListParagraph"/>
        <w:spacing w:before="240" w:after="120" w:line="360" w:lineRule="auto"/>
        <w:ind w:left="2160" w:hanging="720"/>
        <w:contextualSpacing w:val="0"/>
        <w:jc w:val="both"/>
        <w:rPr>
          <w:rFonts w:ascii="Arial" w:hAnsi="Arial" w:cs="Arial"/>
          <w:lang w:val="en-US" w:eastAsia="zh-CN"/>
        </w:rPr>
      </w:pPr>
      <w:r w:rsidRPr="00234FA3">
        <w:rPr>
          <w:rFonts w:ascii="Arial" w:hAnsi="Arial" w:cs="Arial"/>
          <w:sz w:val="22"/>
          <w:szCs w:val="22"/>
          <w:lang w:val="en-US" w:eastAsia="zh-CN"/>
        </w:rPr>
        <w:t>‘</w:t>
      </w:r>
      <w:r w:rsidRPr="00A126A8">
        <w:rPr>
          <w:rFonts w:ascii="Arial" w:hAnsi="Arial" w:cs="Arial"/>
          <w:sz w:val="22"/>
          <w:szCs w:val="22"/>
          <w:lang w:val="en-US" w:eastAsia="zh-CN"/>
        </w:rPr>
        <w:t xml:space="preserve">[23] </w:t>
      </w:r>
      <w:r w:rsidRPr="00A126A8">
        <w:rPr>
          <w:rFonts w:ascii="Arial" w:hAnsi="Arial" w:cs="Arial"/>
          <w:sz w:val="22"/>
          <w:szCs w:val="22"/>
          <w:lang w:val="en-US" w:eastAsia="zh-CN"/>
        </w:rPr>
        <w:tab/>
        <w:t xml:space="preserve">The privity and sanctity of contract entails that contractual obligations must be honoured when the parties have entered into the contractual agreement freely and voluntarily. The notion of the privity and sanctity </w:t>
      </w:r>
      <w:r w:rsidRPr="00A126A8">
        <w:rPr>
          <w:rFonts w:ascii="Arial" w:hAnsi="Arial" w:cs="Arial"/>
          <w:sz w:val="22"/>
          <w:szCs w:val="22"/>
          <w:lang w:val="en-US" w:eastAsia="zh-CN"/>
        </w:rPr>
        <w:lastRenderedPageBreak/>
        <w:t>of contracts goes hand in hand with the freedom to contract. Taking into consideration the requirements of a valid contract, freedom to contract denotes that parties are free to enter into contracts and decide on the terms of the contract’</w:t>
      </w:r>
      <w:r w:rsidRPr="00A126A8" w:rsidDel="00DE554B">
        <w:rPr>
          <w:rFonts w:ascii="Arial" w:hAnsi="Arial" w:cs="Arial"/>
          <w:sz w:val="22"/>
          <w:szCs w:val="22"/>
          <w:lang w:val="en-US" w:eastAsia="zh-CN"/>
        </w:rPr>
        <w:t xml:space="preserve"> </w:t>
      </w:r>
    </w:p>
    <w:p w14:paraId="03A2E9D6" w14:textId="77777777" w:rsidR="00DE554B" w:rsidRPr="00A126A8" w:rsidRDefault="00785E1F" w:rsidP="00075473">
      <w:pPr>
        <w:pStyle w:val="ListParagraph"/>
        <w:numPr>
          <w:ilvl w:val="0"/>
          <w:numId w:val="5"/>
        </w:numPr>
        <w:spacing w:before="240" w:after="120" w:line="360" w:lineRule="auto"/>
        <w:ind w:left="709" w:hanging="709"/>
        <w:contextualSpacing w:val="0"/>
        <w:jc w:val="both"/>
        <w:rPr>
          <w:rFonts w:ascii="Arial" w:hAnsi="Arial" w:cs="Arial"/>
          <w:i/>
          <w:iCs/>
          <w:lang w:val="en-US" w:eastAsia="zh-CN"/>
        </w:rPr>
      </w:pPr>
      <w:r w:rsidRPr="00234FA3">
        <w:rPr>
          <w:rFonts w:ascii="Arial" w:hAnsi="Arial" w:cs="Arial"/>
          <w:lang w:val="en-US" w:eastAsia="zh-CN"/>
        </w:rPr>
        <w:t>Again,</w:t>
      </w:r>
      <w:r w:rsidR="00D04803" w:rsidRPr="00234FA3">
        <w:rPr>
          <w:rFonts w:ascii="Arial" w:hAnsi="Arial" w:cs="Arial"/>
          <w:lang w:val="en-US" w:eastAsia="zh-CN"/>
        </w:rPr>
        <w:t xml:space="preserve"> in </w:t>
      </w:r>
      <w:r w:rsidR="00D04803" w:rsidRPr="00234FA3">
        <w:rPr>
          <w:rFonts w:ascii="Arial" w:hAnsi="Arial" w:cs="Arial"/>
          <w:i/>
          <w:iCs/>
          <w:lang w:val="en-US" w:eastAsia="zh-CN"/>
        </w:rPr>
        <w:t>Wells v South African Alumenite Company</w:t>
      </w:r>
      <w:r w:rsidR="00DE554B" w:rsidRPr="00234FA3">
        <w:rPr>
          <w:rStyle w:val="FootnoteReference"/>
          <w:rFonts w:ascii="Arial" w:hAnsi="Arial" w:cs="Arial"/>
          <w:i/>
          <w:iCs/>
          <w:lang w:val="en-US" w:eastAsia="zh-CN"/>
        </w:rPr>
        <w:footnoteReference w:id="3"/>
      </w:r>
      <w:r w:rsidR="00D04803" w:rsidRPr="00234FA3">
        <w:rPr>
          <w:rFonts w:ascii="Arial" w:hAnsi="Arial" w:cs="Arial"/>
          <w:i/>
          <w:iCs/>
          <w:lang w:val="en-US" w:eastAsia="zh-CN"/>
        </w:rPr>
        <w:t xml:space="preserve"> </w:t>
      </w:r>
      <w:r w:rsidR="00D04803" w:rsidRPr="00234FA3">
        <w:rPr>
          <w:rFonts w:ascii="Arial" w:hAnsi="Arial" w:cs="Arial"/>
          <w:lang w:val="en-US" w:eastAsia="zh-CN"/>
        </w:rPr>
        <w:t xml:space="preserve"> the court held that:</w:t>
      </w:r>
    </w:p>
    <w:p w14:paraId="1BF17995" w14:textId="77777777" w:rsidR="00D04803" w:rsidRPr="00A126A8" w:rsidRDefault="00D04803" w:rsidP="00A126A8">
      <w:pPr>
        <w:pStyle w:val="ListParagraph"/>
        <w:spacing w:before="240" w:after="120" w:line="360" w:lineRule="auto"/>
        <w:ind w:left="1440"/>
        <w:contextualSpacing w:val="0"/>
        <w:jc w:val="both"/>
        <w:rPr>
          <w:rFonts w:ascii="Arial" w:hAnsi="Arial" w:cs="Arial"/>
          <w:sz w:val="22"/>
          <w:szCs w:val="22"/>
          <w:lang w:val="en-US" w:eastAsia="zh-CN"/>
        </w:rPr>
      </w:pPr>
      <w:r w:rsidRPr="00A126A8">
        <w:rPr>
          <w:rFonts w:ascii="Arial" w:hAnsi="Arial" w:cs="Arial"/>
          <w:sz w:val="22"/>
          <w:szCs w:val="22"/>
          <w:lang w:val="en-US" w:eastAsia="zh-CN"/>
        </w:rPr>
        <w:t xml:space="preserve">“If there is one thing which, more than another, public policy requires, it is that men of full age and competent understanding shall have the utmost liberty of contracting, and that their </w:t>
      </w:r>
      <w:r w:rsidRPr="00B049A6">
        <w:rPr>
          <w:rFonts w:ascii="Arial" w:hAnsi="Arial" w:cs="Arial"/>
          <w:sz w:val="22"/>
          <w:szCs w:val="22"/>
          <w:highlight w:val="yellow"/>
          <w:lang w:val="en-US" w:eastAsia="zh-CN"/>
        </w:rPr>
        <w:t>contracts, when entered into freely and voluntarily, shall be held sacred and enforced by the courts of justice.”</w:t>
      </w:r>
    </w:p>
    <w:p w14:paraId="19D1FD82" w14:textId="77777777" w:rsidR="00D04803" w:rsidRPr="00234FA3" w:rsidRDefault="00D04803" w:rsidP="00234FA3">
      <w:pPr>
        <w:spacing w:before="240" w:after="120" w:line="360" w:lineRule="auto"/>
        <w:jc w:val="both"/>
        <w:rPr>
          <w:rFonts w:ascii="Arial" w:hAnsi="Arial" w:cs="Arial"/>
          <w:u w:val="single"/>
          <w:lang w:val="en-US" w:eastAsia="zh-CN"/>
        </w:rPr>
      </w:pPr>
      <w:r w:rsidRPr="00B049A6">
        <w:rPr>
          <w:rFonts w:ascii="Arial" w:hAnsi="Arial" w:cs="Arial"/>
          <w:highlight w:val="green"/>
          <w:u w:val="single"/>
          <w:lang w:val="en-US" w:eastAsia="zh-CN"/>
        </w:rPr>
        <w:t>Analysis</w:t>
      </w:r>
      <w:r w:rsidRPr="00234FA3">
        <w:rPr>
          <w:rFonts w:ascii="Arial" w:hAnsi="Arial" w:cs="Arial"/>
          <w:u w:val="single"/>
          <w:lang w:val="en-US" w:eastAsia="zh-CN"/>
        </w:rPr>
        <w:t xml:space="preserve"> </w:t>
      </w:r>
    </w:p>
    <w:p w14:paraId="27F7166E"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It is well established that the third respondent and Mr. Gray discussed the appellant's operational needs during the site visit. Additionally, following that discussion, the third respondent and the appellant entered into a mutual separation agreement. The agreement outlines the payment of severance pay to the third respondent, along with a bonus, leave pay, travel expenses, payout of shares if applicable, and the transfer or payout of the Provident fund. The third respondent acknowledged and accepted the terms of the agreement </w:t>
      </w:r>
      <w:r w:rsidR="00785E1F">
        <w:rPr>
          <w:rFonts w:ascii="Arial" w:hAnsi="Arial" w:cs="Arial"/>
          <w:lang w:val="en-US" w:eastAsia="zh-CN"/>
        </w:rPr>
        <w:t>in full</w:t>
      </w:r>
      <w:r w:rsidRPr="00234FA3">
        <w:rPr>
          <w:rFonts w:ascii="Arial" w:hAnsi="Arial" w:cs="Arial"/>
          <w:lang w:val="en-US" w:eastAsia="zh-CN"/>
        </w:rPr>
        <w:t xml:space="preserve"> and final settlement of ‘</w:t>
      </w:r>
      <w:r w:rsidRPr="00A126A8">
        <w:rPr>
          <w:rFonts w:ascii="Arial" w:hAnsi="Arial" w:cs="Arial"/>
          <w:i/>
          <w:iCs/>
          <w:lang w:val="en-US" w:eastAsia="zh-CN"/>
        </w:rPr>
        <w:t>all or any claims</w:t>
      </w:r>
      <w:r w:rsidRPr="00234FA3">
        <w:rPr>
          <w:rFonts w:ascii="Arial" w:hAnsi="Arial" w:cs="Arial"/>
          <w:lang w:val="en-US" w:eastAsia="zh-CN"/>
        </w:rPr>
        <w:t xml:space="preserve">’ against the appellant. </w:t>
      </w:r>
    </w:p>
    <w:p w14:paraId="4D244843" w14:textId="77777777" w:rsidR="00C85A8C"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In his testimony, Mr. Gray stated that during a site visit to see the third respondent, they had an informal discussion about the operational needs of the appellant. He also mentioned a project in the Northern Cape where </w:t>
      </w:r>
      <w:r w:rsidR="00193B03">
        <w:rPr>
          <w:rFonts w:ascii="Arial" w:hAnsi="Arial" w:cs="Arial"/>
          <w:lang w:val="en-US" w:eastAsia="zh-CN"/>
        </w:rPr>
        <w:t xml:space="preserve">the third respondent </w:t>
      </w:r>
      <w:r w:rsidRPr="00234FA3">
        <w:rPr>
          <w:rFonts w:ascii="Arial" w:hAnsi="Arial" w:cs="Arial"/>
          <w:lang w:val="en-US" w:eastAsia="zh-CN"/>
        </w:rPr>
        <w:t xml:space="preserve">could be assigned. The third respondent indicated that </w:t>
      </w:r>
      <w:r w:rsidR="00193B03">
        <w:rPr>
          <w:rFonts w:ascii="Arial" w:hAnsi="Arial" w:cs="Arial"/>
          <w:lang w:val="en-US" w:eastAsia="zh-CN"/>
        </w:rPr>
        <w:t xml:space="preserve">he could not go to </w:t>
      </w:r>
      <w:r w:rsidR="00785E1F">
        <w:rPr>
          <w:rFonts w:ascii="Arial" w:hAnsi="Arial" w:cs="Arial"/>
          <w:lang w:val="en-US" w:eastAsia="zh-CN"/>
        </w:rPr>
        <w:t>the Northern Cape;</w:t>
      </w:r>
      <w:r w:rsidR="00193B03">
        <w:rPr>
          <w:rFonts w:ascii="Arial" w:hAnsi="Arial" w:cs="Arial"/>
          <w:lang w:val="en-US" w:eastAsia="zh-CN"/>
        </w:rPr>
        <w:t xml:space="preserve"> it</w:t>
      </w:r>
      <w:r w:rsidRPr="00234FA3">
        <w:rPr>
          <w:rFonts w:ascii="Arial" w:hAnsi="Arial" w:cs="Arial"/>
          <w:lang w:val="en-US" w:eastAsia="zh-CN"/>
        </w:rPr>
        <w:t xml:space="preserve"> would be better for him to be retrenched, as he was busy with a home construction project and preferred not to be away from home. This conversation led to the agreement between the appellant and the third respondent. </w:t>
      </w:r>
      <w:r w:rsidR="00193B03">
        <w:rPr>
          <w:rFonts w:ascii="Arial" w:hAnsi="Arial" w:cs="Arial"/>
          <w:lang w:val="en-US" w:eastAsia="zh-CN"/>
        </w:rPr>
        <w:t>(to terminate the employment)</w:t>
      </w:r>
    </w:p>
    <w:p w14:paraId="03F50511" w14:textId="77777777" w:rsidR="00963FE4"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As stated in </w:t>
      </w:r>
      <w:r w:rsidRPr="00A126A8">
        <w:rPr>
          <w:rFonts w:ascii="Arial" w:hAnsi="Arial" w:cs="Arial"/>
          <w:i/>
          <w:iCs/>
          <w:lang w:val="en-US" w:eastAsia="zh-CN"/>
        </w:rPr>
        <w:t>Universal Church of the Kingdom of God v Myeni and Others</w:t>
      </w:r>
      <w:r w:rsidR="00963FE4" w:rsidRPr="00234FA3">
        <w:rPr>
          <w:rStyle w:val="FootnoteReference"/>
          <w:rFonts w:ascii="Arial" w:hAnsi="Arial" w:cs="Arial"/>
          <w:i/>
          <w:iCs/>
          <w:lang w:val="en-US" w:eastAsia="zh-CN"/>
        </w:rPr>
        <w:footnoteReference w:id="4"/>
      </w:r>
      <w:r w:rsidRPr="00A126A8">
        <w:rPr>
          <w:rFonts w:ascii="Arial" w:hAnsi="Arial" w:cs="Arial"/>
          <w:lang w:val="en-US" w:eastAsia="zh-CN"/>
        </w:rPr>
        <w:t xml:space="preserve"> </w:t>
      </w:r>
      <w:r w:rsidRPr="00234FA3">
        <w:rPr>
          <w:rFonts w:ascii="Arial" w:hAnsi="Arial" w:cs="Arial"/>
          <w:lang w:val="en-US" w:eastAsia="zh-CN"/>
        </w:rPr>
        <w:t>that :</w:t>
      </w:r>
    </w:p>
    <w:p w14:paraId="69CFFEAB" w14:textId="77777777" w:rsidR="00D04803" w:rsidRPr="00A126A8" w:rsidRDefault="00D04803" w:rsidP="00A126A8">
      <w:pPr>
        <w:pStyle w:val="ListParagraph"/>
        <w:spacing w:before="240" w:after="120" w:line="360" w:lineRule="auto"/>
        <w:ind w:left="1440"/>
        <w:contextualSpacing w:val="0"/>
        <w:jc w:val="both"/>
        <w:rPr>
          <w:rFonts w:ascii="Arial" w:hAnsi="Arial" w:cs="Arial"/>
          <w:sz w:val="22"/>
          <w:szCs w:val="22"/>
          <w:lang w:val="en-US" w:eastAsia="zh-CN"/>
        </w:rPr>
      </w:pPr>
      <w:r w:rsidRPr="00A126A8">
        <w:rPr>
          <w:rFonts w:ascii="Arial" w:hAnsi="Arial" w:cs="Arial"/>
          <w:sz w:val="22"/>
          <w:szCs w:val="22"/>
          <w:lang w:val="en-US" w:eastAsia="zh-CN"/>
        </w:rPr>
        <w:lastRenderedPageBreak/>
        <w:t xml:space="preserve">“…….For a valid contract to exist, each party needs to have a serious and deliberate intention to contract or to be legally bound by the agreement, the animus contrahendi. The parties must also be ad idem (or have the meeting of the minds), as to the terms of the agreement. Obviously, absent the animus contrahendi between the parties or from either of them, no contractual obligation can be said to exist and be capable of legal enforcement.” </w:t>
      </w:r>
    </w:p>
    <w:p w14:paraId="6B69C760"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675EFA">
        <w:rPr>
          <w:rFonts w:ascii="Arial" w:hAnsi="Arial" w:cs="Arial"/>
          <w:highlight w:val="yellow"/>
          <w:lang w:val="en-US" w:eastAsia="zh-CN"/>
        </w:rPr>
        <w:t>In the agreement between the appellant and the third respondent, an offer was made to the third respondent. The third respondent accepted the offer voluntarily in full and final settlement of all or any claims that he may have against the appellant in the future</w:t>
      </w:r>
      <w:r w:rsidRPr="00234FA3">
        <w:rPr>
          <w:rFonts w:ascii="Arial" w:hAnsi="Arial" w:cs="Arial"/>
          <w:lang w:val="en-US" w:eastAsia="zh-CN"/>
        </w:rPr>
        <w:t>. The appellant submitted that the arbitrator's award is unreasonable and should have been reviewed and set aside by the Labour Court. On the issue of reasonable awards, the</w:t>
      </w:r>
      <w:r w:rsidRPr="00234FA3">
        <w:rPr>
          <w:rFonts w:ascii="Arial" w:hAnsi="Arial" w:cs="Arial"/>
        </w:rPr>
        <w:t xml:space="preserve"> Labour Appeal Court in </w:t>
      </w:r>
      <w:r w:rsidRPr="00234FA3">
        <w:rPr>
          <w:rFonts w:ascii="Arial" w:hAnsi="Arial" w:cs="Arial"/>
          <w:i/>
          <w:iCs/>
        </w:rPr>
        <w:t>Fidelity Cash Management Services v Commission for Conciliation, Mediation and Arbitration and Others</w:t>
      </w:r>
      <w:r w:rsidR="00963FE4" w:rsidRPr="00234FA3">
        <w:rPr>
          <w:rStyle w:val="FootnoteReference"/>
          <w:rFonts w:ascii="Arial" w:hAnsi="Arial" w:cs="Arial"/>
          <w:i/>
          <w:iCs/>
        </w:rPr>
        <w:footnoteReference w:id="5"/>
      </w:r>
      <w:r w:rsidR="00963FE4" w:rsidRPr="00234FA3">
        <w:rPr>
          <w:rFonts w:ascii="Arial" w:hAnsi="Arial" w:cs="Arial"/>
        </w:rPr>
        <w:t xml:space="preserve"> </w:t>
      </w:r>
      <w:r w:rsidRPr="00234FA3">
        <w:rPr>
          <w:rFonts w:ascii="Arial" w:hAnsi="Arial" w:cs="Arial"/>
        </w:rPr>
        <w:t xml:space="preserve">held that: </w:t>
      </w:r>
    </w:p>
    <w:p w14:paraId="5412A53C" w14:textId="77777777" w:rsidR="00D04803" w:rsidRPr="00234FA3" w:rsidRDefault="00D04803" w:rsidP="00234FA3">
      <w:pPr>
        <w:pStyle w:val="ListParagraph"/>
        <w:spacing w:before="240" w:after="120" w:line="360" w:lineRule="auto"/>
        <w:ind w:left="1440"/>
        <w:contextualSpacing w:val="0"/>
        <w:jc w:val="both"/>
        <w:rPr>
          <w:rFonts w:ascii="Arial" w:hAnsi="Arial" w:cs="Arial"/>
          <w:sz w:val="22"/>
          <w:szCs w:val="22"/>
        </w:rPr>
      </w:pPr>
      <w:r w:rsidRPr="00234FA3">
        <w:rPr>
          <w:rFonts w:ascii="Arial" w:hAnsi="Arial" w:cs="Arial"/>
          <w:sz w:val="22"/>
          <w:szCs w:val="22"/>
        </w:rPr>
        <w:t xml:space="preserve">‘The test enunciated by the Constitutional Court in </w:t>
      </w:r>
      <w:r w:rsidRPr="00A126A8">
        <w:rPr>
          <w:rFonts w:ascii="Arial" w:hAnsi="Arial" w:cs="Arial"/>
          <w:i/>
          <w:iCs/>
          <w:sz w:val="22"/>
          <w:szCs w:val="22"/>
        </w:rPr>
        <w:t>Sidumo</w:t>
      </w:r>
      <w:r w:rsidRPr="00234FA3">
        <w:rPr>
          <w:rFonts w:ascii="Arial" w:hAnsi="Arial" w:cs="Arial"/>
          <w:sz w:val="22"/>
          <w:szCs w:val="22"/>
        </w:rPr>
        <w:t xml:space="preserve"> for determining whether a decision or arbitration award of a CCMA commissioner is reasonable is a stringent test that will ensure that such awards are not lightly interfered with. It will ensure that, more than before, and in line with the objectives of the Act and particularly the primary objective of the effective resolution of disputes, awards of the CCMA will be final and binding as long as it cannot be said that such a decision or award is one that a reasonable decision maker could not have made in the circumstances of the case. It will not be often that an arbitration award is found to be one which a reasonable decision maker could not have made but I also do not think that it will be rare that an arbitration award of the CCMA is found to be one that a reasonable decision maker could not, in all the circumstances, have reached.’</w:t>
      </w:r>
    </w:p>
    <w:p w14:paraId="6A59D645" w14:textId="77777777" w:rsidR="00963FE4"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The award found that there was no mutual separation agreement; instead, a letter of retrenchment was issued to the third respondent. The court a </w:t>
      </w:r>
      <w:r w:rsidRPr="00A126A8">
        <w:rPr>
          <w:rFonts w:ascii="Arial" w:hAnsi="Arial" w:cs="Arial"/>
          <w:i/>
          <w:iCs/>
          <w:lang w:val="en-US" w:eastAsia="zh-CN"/>
        </w:rPr>
        <w:t>quo</w:t>
      </w:r>
      <w:r w:rsidRPr="00234FA3">
        <w:rPr>
          <w:rFonts w:ascii="Arial" w:hAnsi="Arial" w:cs="Arial"/>
          <w:lang w:val="en-US" w:eastAsia="zh-CN"/>
        </w:rPr>
        <w:t xml:space="preserve">, however, held that a mutual separation agreement existed, with terms of retrenchment, and that by signing the agreement, the appellant avoided the objectives of section 189 of the LRA. The court a </w:t>
      </w:r>
      <w:r w:rsidRPr="00A126A8">
        <w:rPr>
          <w:rFonts w:ascii="Arial" w:hAnsi="Arial" w:cs="Arial"/>
          <w:i/>
          <w:iCs/>
          <w:lang w:val="en-US" w:eastAsia="zh-CN"/>
        </w:rPr>
        <w:t>quo</w:t>
      </w:r>
      <w:r w:rsidRPr="00234FA3">
        <w:rPr>
          <w:rFonts w:ascii="Arial" w:hAnsi="Arial" w:cs="Arial"/>
          <w:lang w:val="en-US" w:eastAsia="zh-CN"/>
        </w:rPr>
        <w:t xml:space="preserve"> held that:</w:t>
      </w:r>
    </w:p>
    <w:p w14:paraId="137E0F5A" w14:textId="77777777" w:rsidR="00D04803" w:rsidRPr="00A126A8" w:rsidRDefault="00D04803" w:rsidP="00A126A8">
      <w:pPr>
        <w:pStyle w:val="ListParagraph"/>
        <w:spacing w:before="240" w:after="120" w:line="360" w:lineRule="auto"/>
        <w:ind w:left="2160" w:hanging="720"/>
        <w:contextualSpacing w:val="0"/>
        <w:jc w:val="both"/>
        <w:rPr>
          <w:rFonts w:ascii="Arial" w:hAnsi="Arial" w:cs="Arial"/>
          <w:sz w:val="22"/>
          <w:szCs w:val="22"/>
          <w:lang w:val="en-US" w:eastAsia="zh-CN"/>
        </w:rPr>
      </w:pPr>
      <w:r w:rsidRPr="00A126A8">
        <w:rPr>
          <w:rFonts w:ascii="Arial" w:hAnsi="Arial" w:cs="Arial"/>
          <w:sz w:val="22"/>
          <w:szCs w:val="22"/>
          <w:lang w:val="en-US" w:eastAsia="zh-CN"/>
        </w:rPr>
        <w:lastRenderedPageBreak/>
        <w:t xml:space="preserve">“[39] </w:t>
      </w:r>
      <w:r w:rsidR="00963FE4" w:rsidRPr="00234FA3">
        <w:rPr>
          <w:rFonts w:ascii="Arial" w:hAnsi="Arial" w:cs="Arial"/>
          <w:sz w:val="22"/>
          <w:szCs w:val="22"/>
          <w:lang w:val="en-US" w:eastAsia="zh-CN"/>
        </w:rPr>
        <w:tab/>
      </w:r>
      <w:r w:rsidRPr="00A126A8">
        <w:rPr>
          <w:rFonts w:ascii="Arial" w:hAnsi="Arial" w:cs="Arial"/>
          <w:sz w:val="22"/>
          <w:szCs w:val="22"/>
          <w:lang w:val="en-US" w:eastAsia="zh-CN"/>
        </w:rPr>
        <w:t xml:space="preserve">In  my view, </w:t>
      </w:r>
      <w:r w:rsidRPr="00675EFA">
        <w:rPr>
          <w:rFonts w:ascii="Arial" w:hAnsi="Arial" w:cs="Arial"/>
          <w:sz w:val="22"/>
          <w:szCs w:val="22"/>
          <w:highlight w:val="yellow"/>
          <w:lang w:val="en-US" w:eastAsia="zh-CN"/>
        </w:rPr>
        <w:t>the applicant cannot use a mutual separation agreement to circumvent the procedure set out in section 189 of</w:t>
      </w:r>
      <w:r w:rsidRPr="00A126A8">
        <w:rPr>
          <w:rFonts w:ascii="Arial" w:hAnsi="Arial" w:cs="Arial"/>
          <w:sz w:val="22"/>
          <w:szCs w:val="22"/>
          <w:lang w:val="en-US" w:eastAsia="zh-CN"/>
        </w:rPr>
        <w:t xml:space="preserve"> the LRA and therefore, the first respondent’s decision, that the procedure for retrenchment was not followed and that the dismissal  was procedurally and substantively unfair, is one that a reasonable decision maker would have arrived at.”</w:t>
      </w:r>
    </w:p>
    <w:p w14:paraId="661FB3F4" w14:textId="77777777" w:rsidR="00D04803" w:rsidRPr="00234FA3" w:rsidRDefault="00D634FB"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Pr>
          <w:rFonts w:ascii="Arial" w:hAnsi="Arial" w:cs="Arial"/>
          <w:lang w:val="en-US" w:eastAsia="zh-CN"/>
        </w:rPr>
        <w:t>Regarding</w:t>
      </w:r>
      <w:r w:rsidR="00193B03">
        <w:rPr>
          <w:rFonts w:ascii="Arial" w:hAnsi="Arial" w:cs="Arial"/>
          <w:lang w:val="en-US" w:eastAsia="zh-CN"/>
        </w:rPr>
        <w:t xml:space="preserve"> the applicable test during arbitration, t</w:t>
      </w:r>
      <w:r w:rsidR="00D04803" w:rsidRPr="00234FA3">
        <w:rPr>
          <w:rFonts w:ascii="Arial" w:hAnsi="Arial" w:cs="Arial"/>
          <w:lang w:val="en-US" w:eastAsia="zh-CN"/>
        </w:rPr>
        <w:t xml:space="preserve">he arbitrator had to determine whether the parties' agreement was properly entered into and enforceable. This would be the determining factor in whether the third respondent was dismissed and whether it was unfair. In </w:t>
      </w:r>
      <w:r w:rsidR="00D04803" w:rsidRPr="00234FA3">
        <w:rPr>
          <w:rFonts w:ascii="Arial" w:hAnsi="Arial" w:cs="Arial"/>
          <w:i/>
          <w:iCs/>
          <w:lang w:val="en-US" w:eastAsia="zh-CN"/>
        </w:rPr>
        <w:t>Johnson Uniform Solutions (Pty) Ltd v Brown and Others</w:t>
      </w:r>
      <w:r w:rsidR="00963FE4" w:rsidRPr="00234FA3">
        <w:rPr>
          <w:rStyle w:val="FootnoteReference"/>
          <w:rFonts w:ascii="Arial" w:hAnsi="Arial" w:cs="Arial"/>
          <w:i/>
          <w:iCs/>
          <w:lang w:val="en-US" w:eastAsia="zh-CN"/>
        </w:rPr>
        <w:footnoteReference w:id="6"/>
      </w:r>
      <w:r w:rsidR="00D04803" w:rsidRPr="00234FA3">
        <w:rPr>
          <w:rFonts w:ascii="Arial" w:hAnsi="Arial" w:cs="Arial"/>
          <w:lang w:val="en-US" w:eastAsia="zh-CN"/>
        </w:rPr>
        <w:t xml:space="preserve"> the </w:t>
      </w:r>
      <w:r w:rsidR="00963FE4" w:rsidRPr="00234FA3">
        <w:rPr>
          <w:rFonts w:ascii="Arial" w:hAnsi="Arial" w:cs="Arial"/>
          <w:lang w:val="en-US" w:eastAsia="zh-CN"/>
        </w:rPr>
        <w:t>Labour Appeal Court</w:t>
      </w:r>
      <w:r w:rsidR="00D04803" w:rsidRPr="00234FA3">
        <w:rPr>
          <w:rFonts w:ascii="Arial" w:hAnsi="Arial" w:cs="Arial"/>
          <w:lang w:val="en-US" w:eastAsia="zh-CN"/>
        </w:rPr>
        <w:t>, in addressing the applicable test in disputes, held that:</w:t>
      </w:r>
    </w:p>
    <w:p w14:paraId="694783AF"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“[34]</w:t>
      </w:r>
      <w:r w:rsidR="00963FE4" w:rsidRPr="00234FA3">
        <w:rPr>
          <w:rFonts w:ascii="Arial" w:hAnsi="Arial" w:cs="Arial"/>
          <w:sz w:val="22"/>
          <w:szCs w:val="22"/>
          <w:lang w:val="en-US" w:eastAsia="zh-CN"/>
        </w:rPr>
        <w:tab/>
      </w:r>
      <w:r w:rsidRPr="00A126A8">
        <w:rPr>
          <w:rFonts w:ascii="Arial" w:hAnsi="Arial" w:cs="Arial"/>
          <w:sz w:val="22"/>
          <w:szCs w:val="22"/>
          <w:lang w:val="en-US" w:eastAsia="zh-CN"/>
        </w:rPr>
        <w:t xml:space="preserve">In assessing whether the CCMA or the Bargaining Council had jurisdiction to adjudicate a dispute, the correctness test should be applied. The court of review will analyse the objective facts to determine whether the CCMA or Bargaining Council had the necessary jurisdiction to entertain the dispute. See </w:t>
      </w:r>
      <w:r w:rsidRPr="00234FA3">
        <w:rPr>
          <w:rFonts w:ascii="Arial" w:hAnsi="Arial" w:cs="Arial"/>
          <w:i/>
          <w:iCs/>
          <w:sz w:val="22"/>
          <w:szCs w:val="22"/>
          <w:lang w:val="en-US" w:eastAsia="zh-CN"/>
        </w:rPr>
        <w:t>SARPA v SA Rugby (Pty) Ltd and Others; SA Rugby (Pty) Ltd v SARPU</w:t>
      </w:r>
      <w:r w:rsidRPr="00A126A8">
        <w:rPr>
          <w:rFonts w:ascii="Arial" w:hAnsi="Arial" w:cs="Arial"/>
          <w:sz w:val="22"/>
          <w:szCs w:val="22"/>
          <w:lang w:val="en-US" w:eastAsia="zh-CN"/>
        </w:rPr>
        <w:t>.</w:t>
      </w:r>
    </w:p>
    <w:p w14:paraId="7793CDED"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lang w:val="en-US" w:eastAsia="zh-CN"/>
        </w:rPr>
        <w:t xml:space="preserve"> </w:t>
      </w:r>
      <w:r w:rsidRPr="00A126A8">
        <w:rPr>
          <w:rFonts w:ascii="Arial" w:hAnsi="Arial" w:cs="Arial"/>
          <w:sz w:val="22"/>
          <w:szCs w:val="22"/>
          <w:lang w:val="en-US" w:eastAsia="zh-CN"/>
        </w:rPr>
        <w:t xml:space="preserve">[35] </w:t>
      </w:r>
      <w:r w:rsidR="00963FE4" w:rsidRPr="00234FA3">
        <w:rPr>
          <w:rFonts w:ascii="Arial" w:hAnsi="Arial" w:cs="Arial"/>
          <w:sz w:val="22"/>
          <w:szCs w:val="22"/>
          <w:lang w:val="en-US" w:eastAsia="zh-CN"/>
        </w:rPr>
        <w:tab/>
      </w:r>
      <w:r w:rsidRPr="00675EFA">
        <w:rPr>
          <w:rFonts w:ascii="Arial" w:hAnsi="Arial" w:cs="Arial"/>
          <w:sz w:val="22"/>
          <w:szCs w:val="22"/>
          <w:highlight w:val="yellow"/>
          <w:lang w:val="en-US" w:eastAsia="zh-CN"/>
        </w:rPr>
        <w:t>The issues in dispute will determine whether the one or the other of the review tests is harnessed in order to resolve the dispute</w:t>
      </w:r>
      <w:r w:rsidRPr="00A126A8">
        <w:rPr>
          <w:rFonts w:ascii="Arial" w:hAnsi="Arial" w:cs="Arial"/>
          <w:sz w:val="22"/>
          <w:szCs w:val="22"/>
          <w:lang w:val="en-US" w:eastAsia="zh-CN"/>
        </w:rPr>
        <w:t xml:space="preserve">. </w:t>
      </w:r>
      <w:r w:rsidRPr="00B049A6">
        <w:rPr>
          <w:rFonts w:ascii="Arial" w:hAnsi="Arial" w:cs="Arial"/>
          <w:sz w:val="22"/>
          <w:szCs w:val="22"/>
          <w:lang w:val="en-US" w:eastAsia="zh-CN"/>
        </w:rPr>
        <w:t>In matters where the factual finding of an arbitrator is challenged on review, the reasonable decision-maker standard should be applied. Where the legal or jurisdictional findings of the arbitrator are challenged the correctness standard should be applied. T</w:t>
      </w:r>
      <w:r w:rsidRPr="00A126A8">
        <w:rPr>
          <w:rFonts w:ascii="Arial" w:hAnsi="Arial" w:cs="Arial"/>
          <w:sz w:val="22"/>
          <w:szCs w:val="22"/>
          <w:lang w:val="en-US" w:eastAsia="zh-CN"/>
        </w:rPr>
        <w:t xml:space="preserve">here will, however, be situations where the legal issues are inextricably linked to the facts so that the reasonable decision-maker standard could be applied. </w:t>
      </w:r>
    </w:p>
    <w:p w14:paraId="7C4FF8E0" w14:textId="77777777" w:rsidR="00D04803" w:rsidRPr="00A126A8" w:rsidRDefault="00D04803" w:rsidP="00A126A8">
      <w:pPr>
        <w:spacing w:before="240" w:after="120" w:line="360" w:lineRule="auto"/>
        <w:ind w:left="2160" w:hanging="720"/>
        <w:jc w:val="both"/>
        <w:rPr>
          <w:rFonts w:ascii="Arial" w:hAnsi="Arial" w:cs="Arial"/>
          <w:sz w:val="22"/>
          <w:szCs w:val="22"/>
          <w:lang w:val="en-US" w:eastAsia="zh-CN"/>
        </w:rPr>
      </w:pPr>
      <w:r w:rsidRPr="00A126A8">
        <w:rPr>
          <w:rFonts w:ascii="Arial" w:hAnsi="Arial" w:cs="Arial"/>
          <w:sz w:val="22"/>
          <w:szCs w:val="22"/>
          <w:lang w:val="en-US" w:eastAsia="zh-CN"/>
        </w:rPr>
        <w:t xml:space="preserve"> [36] </w:t>
      </w:r>
      <w:r w:rsidR="00963FE4" w:rsidRPr="00234FA3">
        <w:rPr>
          <w:rFonts w:ascii="Arial" w:hAnsi="Arial" w:cs="Arial"/>
          <w:sz w:val="22"/>
          <w:szCs w:val="22"/>
          <w:lang w:val="en-US" w:eastAsia="zh-CN"/>
        </w:rPr>
        <w:tab/>
      </w:r>
      <w:r w:rsidRPr="00A126A8">
        <w:rPr>
          <w:rFonts w:ascii="Arial" w:hAnsi="Arial" w:cs="Arial"/>
          <w:sz w:val="22"/>
          <w:szCs w:val="22"/>
          <w:lang w:val="en-US" w:eastAsia="zh-CN"/>
        </w:rPr>
        <w:t xml:space="preserve">It is therefore important to determine whether the dispute, between the parties, is a jurisdictional one or not. </w:t>
      </w:r>
      <w:r w:rsidRPr="00675EFA">
        <w:rPr>
          <w:rFonts w:ascii="Arial" w:hAnsi="Arial" w:cs="Arial"/>
          <w:sz w:val="22"/>
          <w:szCs w:val="22"/>
          <w:highlight w:val="yellow"/>
          <w:lang w:val="en-US" w:eastAsia="zh-CN"/>
        </w:rPr>
        <w:t>The dispute to be resolved determines the test to be applied.</w:t>
      </w:r>
      <w:r w:rsidRPr="00A126A8">
        <w:rPr>
          <w:rFonts w:ascii="Arial" w:hAnsi="Arial" w:cs="Arial"/>
          <w:sz w:val="22"/>
          <w:szCs w:val="22"/>
          <w:lang w:val="en-US" w:eastAsia="zh-CN"/>
        </w:rPr>
        <w:t xml:space="preserve"> </w:t>
      </w:r>
      <w:r w:rsidRPr="00675EFA">
        <w:rPr>
          <w:rFonts w:ascii="Arial" w:hAnsi="Arial" w:cs="Arial"/>
          <w:sz w:val="22"/>
          <w:szCs w:val="22"/>
          <w:highlight w:val="yellow"/>
          <w:lang w:val="en-US" w:eastAsia="zh-CN"/>
        </w:rPr>
        <w:t xml:space="preserve">In this matter, </w:t>
      </w:r>
      <w:r w:rsidRPr="00B049A6">
        <w:rPr>
          <w:rFonts w:ascii="Arial" w:hAnsi="Arial" w:cs="Arial"/>
          <w:sz w:val="22"/>
          <w:szCs w:val="22"/>
          <w:highlight w:val="green"/>
          <w:lang w:val="en-US" w:eastAsia="zh-CN"/>
        </w:rPr>
        <w:t xml:space="preserve">the dispute between the parties was </w:t>
      </w:r>
      <w:r w:rsidRPr="00675EFA">
        <w:rPr>
          <w:rFonts w:ascii="Arial" w:hAnsi="Arial" w:cs="Arial"/>
          <w:sz w:val="22"/>
          <w:szCs w:val="22"/>
          <w:highlight w:val="yellow"/>
          <w:lang w:val="en-US" w:eastAsia="zh-CN"/>
        </w:rPr>
        <w:t>whether there was in fact a dismissal.</w:t>
      </w:r>
      <w:r w:rsidRPr="00A126A8">
        <w:rPr>
          <w:rFonts w:ascii="Arial" w:hAnsi="Arial" w:cs="Arial"/>
          <w:sz w:val="22"/>
          <w:szCs w:val="22"/>
          <w:lang w:val="en-US" w:eastAsia="zh-CN"/>
        </w:rPr>
        <w:t xml:space="preserve"> If there was no dismissal the Bargaining Council would not have jurisdiction. If there was a dismissal the Bargaining Council would have jurisdiction. The </w:t>
      </w:r>
      <w:r w:rsidRPr="00A126A8">
        <w:rPr>
          <w:rFonts w:ascii="Arial" w:hAnsi="Arial" w:cs="Arial"/>
          <w:sz w:val="22"/>
          <w:szCs w:val="22"/>
          <w:lang w:val="en-US" w:eastAsia="zh-CN"/>
        </w:rPr>
        <w:lastRenderedPageBreak/>
        <w:t>existence or otherwise of a dismissal is therefore a jurisdictional issue. The correctness standard and not the reasonableness standard should therefore be applied. The court a quo, as both parties agreed, applied the wrong standard.”</w:t>
      </w:r>
    </w:p>
    <w:p w14:paraId="230BAC47" w14:textId="77777777" w:rsidR="00616F7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675EFA">
        <w:rPr>
          <w:rFonts w:ascii="Arial" w:hAnsi="Arial" w:cs="Arial"/>
          <w:highlight w:val="yellow"/>
          <w:lang w:val="en-US" w:eastAsia="zh-CN"/>
        </w:rPr>
        <w:t xml:space="preserve">The </w:t>
      </w:r>
      <w:r w:rsidRPr="00B049A6">
        <w:rPr>
          <w:rFonts w:ascii="Arial" w:hAnsi="Arial" w:cs="Arial"/>
          <w:highlight w:val="green"/>
          <w:lang w:val="en-US" w:eastAsia="zh-CN"/>
        </w:rPr>
        <w:t xml:space="preserve">dispute in this case </w:t>
      </w:r>
      <w:r w:rsidRPr="00675EFA">
        <w:rPr>
          <w:rFonts w:ascii="Arial" w:hAnsi="Arial" w:cs="Arial"/>
          <w:highlight w:val="yellow"/>
          <w:lang w:val="en-US" w:eastAsia="zh-CN"/>
        </w:rPr>
        <w:t>concerned the validity of the agreement between the parties.</w:t>
      </w:r>
      <w:r w:rsidRPr="00234FA3">
        <w:rPr>
          <w:rFonts w:ascii="Arial" w:hAnsi="Arial" w:cs="Arial"/>
          <w:lang w:val="en-US" w:eastAsia="zh-CN"/>
        </w:rPr>
        <w:t xml:space="preserve"> The question was whether the court a </w:t>
      </w:r>
      <w:r w:rsidRPr="00A126A8">
        <w:rPr>
          <w:rFonts w:ascii="Arial" w:hAnsi="Arial" w:cs="Arial"/>
          <w:i/>
          <w:iCs/>
          <w:lang w:val="en-US" w:eastAsia="zh-CN"/>
        </w:rPr>
        <w:t>quo's</w:t>
      </w:r>
      <w:r w:rsidRPr="00234FA3">
        <w:rPr>
          <w:rFonts w:ascii="Arial" w:hAnsi="Arial" w:cs="Arial"/>
          <w:lang w:val="en-US" w:eastAsia="zh-CN"/>
        </w:rPr>
        <w:t xml:space="preserve"> reasonableness test should have been applied. The validity of an agreement is a legal matter that does not require a reasonableness test as established in </w:t>
      </w:r>
      <w:r w:rsidR="00963FE4" w:rsidRPr="00A126A8">
        <w:rPr>
          <w:rFonts w:ascii="Arial" w:hAnsi="Arial" w:cs="Arial"/>
          <w:i/>
          <w:iCs/>
          <w:lang w:val="en-US" w:eastAsia="zh-CN"/>
        </w:rPr>
        <w:t>Sidumo and Another v Rustenburg Platinum Mines Ltd and Others</w:t>
      </w:r>
      <w:r w:rsidR="00963FE4" w:rsidRPr="00234FA3">
        <w:rPr>
          <w:rStyle w:val="FootnoteReference"/>
          <w:rFonts w:ascii="Arial" w:hAnsi="Arial" w:cs="Arial"/>
          <w:i/>
          <w:iCs/>
          <w:lang w:val="en-US" w:eastAsia="zh-CN"/>
        </w:rPr>
        <w:footnoteReference w:id="7"/>
      </w:r>
      <w:r w:rsidRPr="00234FA3">
        <w:rPr>
          <w:rFonts w:ascii="Arial" w:hAnsi="Arial" w:cs="Arial"/>
          <w:lang w:val="en-US" w:eastAsia="zh-CN"/>
        </w:rPr>
        <w:t xml:space="preserve">, but rather a correctness test. Therefore, the arbitrator lacked the necessary jurisdiction, and the court a </w:t>
      </w:r>
      <w:r w:rsidRPr="00A126A8">
        <w:rPr>
          <w:rFonts w:ascii="Arial" w:hAnsi="Arial" w:cs="Arial"/>
          <w:i/>
          <w:iCs/>
          <w:lang w:val="en-US" w:eastAsia="zh-CN"/>
        </w:rPr>
        <w:t>quo</w:t>
      </w:r>
      <w:r w:rsidRPr="00234FA3">
        <w:rPr>
          <w:rFonts w:ascii="Arial" w:hAnsi="Arial" w:cs="Arial"/>
          <w:lang w:val="en-US" w:eastAsia="zh-CN"/>
        </w:rPr>
        <w:t xml:space="preserve"> should have reviewed the award and set it aside.</w:t>
      </w:r>
      <w:r w:rsidR="00616F73" w:rsidRPr="00234FA3">
        <w:rPr>
          <w:rFonts w:ascii="Arial" w:hAnsi="Arial" w:cs="Arial"/>
          <w:lang w:val="en-US" w:eastAsia="zh-CN"/>
        </w:rPr>
        <w:t xml:space="preserve"> </w:t>
      </w:r>
    </w:p>
    <w:p w14:paraId="11DCDFDC" w14:textId="77777777" w:rsidR="00616F73" w:rsidRPr="00675EFA" w:rsidRDefault="00D04803" w:rsidP="00075473">
      <w:pPr>
        <w:pStyle w:val="ListParagraph"/>
        <w:numPr>
          <w:ilvl w:val="0"/>
          <w:numId w:val="5"/>
        </w:numPr>
        <w:spacing w:before="240" w:after="120" w:line="360" w:lineRule="auto"/>
        <w:ind w:left="709" w:hanging="709"/>
        <w:contextualSpacing w:val="0"/>
        <w:jc w:val="both"/>
        <w:rPr>
          <w:rFonts w:ascii="Arial" w:hAnsi="Arial" w:cs="Arial"/>
          <w:highlight w:val="yellow"/>
          <w:lang w:val="en-US" w:eastAsia="zh-CN"/>
        </w:rPr>
      </w:pPr>
      <w:r w:rsidRPr="00234FA3">
        <w:rPr>
          <w:rFonts w:ascii="Arial" w:hAnsi="Arial" w:cs="Arial"/>
          <w:lang w:val="en-US" w:eastAsia="zh-CN"/>
        </w:rPr>
        <w:t>There was no finding that the third respondent was coerced into signing the agreement. It is a fact that both parties entered into and signed the agreement</w:t>
      </w:r>
      <w:r w:rsidR="00193B03">
        <w:rPr>
          <w:rFonts w:ascii="Arial" w:hAnsi="Arial" w:cs="Arial"/>
          <w:lang w:val="en-US" w:eastAsia="zh-CN"/>
        </w:rPr>
        <w:t xml:space="preserve"> voluntarily</w:t>
      </w:r>
      <w:r w:rsidRPr="00234FA3">
        <w:rPr>
          <w:rFonts w:ascii="Arial" w:hAnsi="Arial" w:cs="Arial"/>
          <w:lang w:val="en-US" w:eastAsia="zh-CN"/>
        </w:rPr>
        <w:t xml:space="preserve">. The third respondent received his severance package as </w:t>
      </w:r>
      <w:r w:rsidR="00250960">
        <w:rPr>
          <w:rFonts w:ascii="Arial" w:hAnsi="Arial" w:cs="Arial"/>
          <w:lang w:val="en-US" w:eastAsia="zh-CN"/>
        </w:rPr>
        <w:t>agreed</w:t>
      </w:r>
      <w:r w:rsidRPr="00234FA3">
        <w:rPr>
          <w:rFonts w:ascii="Arial" w:hAnsi="Arial" w:cs="Arial"/>
          <w:lang w:val="en-US" w:eastAsia="zh-CN"/>
        </w:rPr>
        <w:t xml:space="preserve">. </w:t>
      </w:r>
      <w:r w:rsidRPr="00675EFA">
        <w:rPr>
          <w:rFonts w:ascii="Arial" w:hAnsi="Arial" w:cs="Arial"/>
          <w:highlight w:val="yellow"/>
          <w:lang w:val="en-US" w:eastAsia="zh-CN"/>
        </w:rPr>
        <w:t xml:space="preserve">The conclusion that the appellant avoided </w:t>
      </w:r>
      <w:r w:rsidR="00193B03" w:rsidRPr="00675EFA">
        <w:rPr>
          <w:rFonts w:ascii="Arial" w:hAnsi="Arial" w:cs="Arial"/>
          <w:highlight w:val="yellow"/>
          <w:lang w:val="en-US" w:eastAsia="zh-CN"/>
        </w:rPr>
        <w:t xml:space="preserve">the </w:t>
      </w:r>
      <w:r w:rsidRPr="00675EFA">
        <w:rPr>
          <w:rFonts w:ascii="Arial" w:hAnsi="Arial" w:cs="Arial"/>
          <w:highlight w:val="yellow"/>
          <w:lang w:val="en-US" w:eastAsia="zh-CN"/>
        </w:rPr>
        <w:t xml:space="preserve">section 189 </w:t>
      </w:r>
      <w:r w:rsidR="00250960" w:rsidRPr="00675EFA">
        <w:rPr>
          <w:rFonts w:ascii="Arial" w:hAnsi="Arial" w:cs="Arial"/>
          <w:highlight w:val="yellow"/>
          <w:lang w:val="en-US" w:eastAsia="zh-CN"/>
        </w:rPr>
        <w:t>processes</w:t>
      </w:r>
      <w:r w:rsidRPr="00675EFA">
        <w:rPr>
          <w:rFonts w:ascii="Arial" w:hAnsi="Arial" w:cs="Arial"/>
          <w:highlight w:val="yellow"/>
          <w:lang w:val="en-US" w:eastAsia="zh-CN"/>
        </w:rPr>
        <w:t xml:space="preserve"> </w:t>
      </w:r>
      <w:r w:rsidR="009141E0" w:rsidRPr="00675EFA">
        <w:rPr>
          <w:rFonts w:ascii="Arial" w:hAnsi="Arial" w:cs="Arial"/>
          <w:highlight w:val="yellow"/>
          <w:lang w:val="en-US" w:eastAsia="zh-CN"/>
        </w:rPr>
        <w:t xml:space="preserve">is </w:t>
      </w:r>
      <w:r w:rsidRPr="00675EFA">
        <w:rPr>
          <w:rFonts w:ascii="Arial" w:hAnsi="Arial" w:cs="Arial"/>
          <w:highlight w:val="yellow"/>
          <w:lang w:val="en-US" w:eastAsia="zh-CN"/>
        </w:rPr>
        <w:t xml:space="preserve">unfounded, as there is nothing preventing parties from entering into a mutual separation agreement at any time when operational requirements are discussed. The parties' agreement was consensual, and there is no evidence of coercion; therefore, the mutual separation agreement is valid and enforceable. </w:t>
      </w:r>
      <w:r w:rsidR="00616F73" w:rsidRPr="00675EFA">
        <w:rPr>
          <w:rFonts w:ascii="Arial" w:hAnsi="Arial" w:cs="Arial"/>
          <w:highlight w:val="yellow"/>
          <w:lang w:val="en-US" w:eastAsia="zh-CN"/>
        </w:rPr>
        <w:t xml:space="preserve"> </w:t>
      </w:r>
      <w:r w:rsidR="00A20934" w:rsidRPr="00675EFA">
        <w:rPr>
          <w:rFonts w:ascii="Arial" w:hAnsi="Arial" w:cs="Arial"/>
          <w:highlight w:val="yellow"/>
          <w:lang w:val="en-US" w:eastAsia="zh-CN"/>
        </w:rPr>
        <w:t>The agreement being valid</w:t>
      </w:r>
      <w:r w:rsidR="00250960" w:rsidRPr="00675EFA">
        <w:rPr>
          <w:rFonts w:ascii="Arial" w:hAnsi="Arial" w:cs="Arial"/>
          <w:highlight w:val="yellow"/>
          <w:lang w:val="en-US" w:eastAsia="zh-CN"/>
        </w:rPr>
        <w:t>, there is no question of dismissal, and as such,</w:t>
      </w:r>
      <w:r w:rsidR="00A20934" w:rsidRPr="00675EFA">
        <w:rPr>
          <w:rFonts w:ascii="Arial" w:hAnsi="Arial" w:cs="Arial"/>
          <w:highlight w:val="yellow"/>
          <w:lang w:val="en-US" w:eastAsia="zh-CN"/>
        </w:rPr>
        <w:t xml:space="preserve"> the first respondent had no jurisdiction to entertain the dispute.</w:t>
      </w:r>
    </w:p>
    <w:p w14:paraId="6184BA03"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lang w:val="en-US" w:eastAsia="zh-CN"/>
        </w:rPr>
      </w:pPr>
      <w:r w:rsidRPr="00234FA3">
        <w:rPr>
          <w:rFonts w:ascii="Arial" w:hAnsi="Arial" w:cs="Arial"/>
          <w:lang w:val="en-US" w:eastAsia="zh-CN"/>
        </w:rPr>
        <w:t xml:space="preserve">Even if the unfairness of the dismissal were to be considered, the appellant's operational requirements were discussed with the third respondent, </w:t>
      </w:r>
      <w:r w:rsidRPr="00A126A8">
        <w:rPr>
          <w:rFonts w:ascii="Arial" w:hAnsi="Arial" w:cs="Arial"/>
          <w:i/>
          <w:iCs/>
          <w:lang w:val="en-US" w:eastAsia="zh-CN"/>
        </w:rPr>
        <w:t>albeit</w:t>
      </w:r>
      <w:r w:rsidRPr="00234FA3">
        <w:rPr>
          <w:rFonts w:ascii="Arial" w:hAnsi="Arial" w:cs="Arial"/>
          <w:lang w:val="en-US" w:eastAsia="zh-CN"/>
        </w:rPr>
        <w:t xml:space="preserve"> informally. An alternative</w:t>
      </w:r>
      <w:r w:rsidR="009141E0" w:rsidRPr="00234FA3">
        <w:rPr>
          <w:rFonts w:ascii="Arial" w:hAnsi="Arial" w:cs="Arial"/>
          <w:lang w:val="en-US" w:eastAsia="zh-CN"/>
        </w:rPr>
        <w:t>,</w:t>
      </w:r>
      <w:r w:rsidR="00963FE4" w:rsidRPr="00234FA3">
        <w:rPr>
          <w:rFonts w:ascii="Arial" w:hAnsi="Arial" w:cs="Arial"/>
          <w:lang w:val="en-US" w:eastAsia="zh-CN"/>
        </w:rPr>
        <w:t xml:space="preserve"> </w:t>
      </w:r>
      <w:r w:rsidRPr="00234FA3">
        <w:rPr>
          <w:rFonts w:ascii="Arial" w:hAnsi="Arial" w:cs="Arial"/>
          <w:lang w:val="en-US" w:eastAsia="zh-CN"/>
        </w:rPr>
        <w:t>his relocation to the Northern Cape</w:t>
      </w:r>
      <w:r w:rsidR="00963FE4" w:rsidRPr="00234FA3">
        <w:rPr>
          <w:rFonts w:ascii="Arial" w:hAnsi="Arial" w:cs="Arial"/>
          <w:lang w:val="en-US" w:eastAsia="zh-CN"/>
        </w:rPr>
        <w:t>,</w:t>
      </w:r>
      <w:r w:rsidRPr="00234FA3">
        <w:rPr>
          <w:rFonts w:ascii="Arial" w:hAnsi="Arial" w:cs="Arial"/>
          <w:lang w:val="en-US" w:eastAsia="zh-CN"/>
        </w:rPr>
        <w:t xml:space="preserve"> was considered but found unsuitable by the third respondent. Additionally, this does not make the dismissal procedurally or substantively unfair. </w:t>
      </w:r>
    </w:p>
    <w:p w14:paraId="3BE0DCAE" w14:textId="77777777" w:rsidR="00D04803" w:rsidRPr="00234FA3" w:rsidRDefault="00D04803" w:rsidP="00234FA3">
      <w:pPr>
        <w:spacing w:before="240" w:after="120" w:line="360" w:lineRule="auto"/>
        <w:jc w:val="both"/>
        <w:rPr>
          <w:rFonts w:ascii="Arial" w:hAnsi="Arial" w:cs="Arial"/>
          <w:u w:val="single"/>
          <w:lang w:val="en-US" w:eastAsia="zh-CN"/>
        </w:rPr>
      </w:pPr>
      <w:r w:rsidRPr="00234FA3">
        <w:rPr>
          <w:rFonts w:ascii="Arial" w:hAnsi="Arial" w:cs="Arial"/>
          <w:u w:val="single"/>
          <w:lang w:val="en-US" w:eastAsia="zh-CN"/>
        </w:rPr>
        <w:t>Costs</w:t>
      </w:r>
    </w:p>
    <w:p w14:paraId="3C7EE603" w14:textId="77777777" w:rsidR="00D04803" w:rsidRPr="00234FA3" w:rsidRDefault="00D04803"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lang w:val="en-US" w:eastAsia="zh-CN"/>
        </w:rPr>
        <w:lastRenderedPageBreak/>
        <w:t xml:space="preserve">Labour </w:t>
      </w:r>
      <w:r w:rsidRPr="00234FA3">
        <w:rPr>
          <w:rFonts w:ascii="Arial" w:hAnsi="Arial" w:cs="Arial"/>
        </w:rPr>
        <w:t xml:space="preserve">courts are courts of equity and costs do not ordinarily follow the result. Nothing in </w:t>
      </w:r>
      <w:r w:rsidRPr="00A126A8">
        <w:rPr>
          <w:rFonts w:ascii="Arial" w:hAnsi="Arial" w:cs="Arial"/>
          <w:i/>
          <w:iCs/>
        </w:rPr>
        <w:t>casu</w:t>
      </w:r>
      <w:r w:rsidRPr="00234FA3">
        <w:rPr>
          <w:rFonts w:ascii="Arial" w:hAnsi="Arial" w:cs="Arial"/>
        </w:rPr>
        <w:t xml:space="preserve"> warrants a departure from that principle. Accordingly, there will be no order as to costs in this appeal.</w:t>
      </w:r>
    </w:p>
    <w:p w14:paraId="6B4AE305" w14:textId="77777777" w:rsidR="00963FE4" w:rsidRPr="00234FA3" w:rsidRDefault="00963FE4" w:rsidP="00075473">
      <w:pPr>
        <w:pStyle w:val="ListParagraph"/>
        <w:numPr>
          <w:ilvl w:val="0"/>
          <w:numId w:val="5"/>
        </w:numPr>
        <w:spacing w:before="240" w:after="120" w:line="360" w:lineRule="auto"/>
        <w:ind w:left="709" w:hanging="709"/>
        <w:contextualSpacing w:val="0"/>
        <w:jc w:val="both"/>
        <w:rPr>
          <w:rFonts w:ascii="Arial" w:hAnsi="Arial" w:cs="Arial"/>
        </w:rPr>
      </w:pPr>
      <w:r w:rsidRPr="00234FA3">
        <w:rPr>
          <w:rFonts w:ascii="Arial" w:hAnsi="Arial" w:cs="Arial"/>
        </w:rPr>
        <w:t>In the premise the following order is made:</w:t>
      </w:r>
    </w:p>
    <w:p w14:paraId="32F4202B" w14:textId="77777777" w:rsidR="00D04803" w:rsidRPr="00234FA3" w:rsidRDefault="00D04803" w:rsidP="00234FA3">
      <w:pPr>
        <w:spacing w:before="240" w:after="120" w:line="360" w:lineRule="auto"/>
        <w:jc w:val="both"/>
        <w:rPr>
          <w:rFonts w:ascii="Arial" w:hAnsi="Arial" w:cs="Arial"/>
          <w:u w:val="single"/>
        </w:rPr>
      </w:pPr>
      <w:r w:rsidRPr="00234FA3">
        <w:rPr>
          <w:rFonts w:ascii="Arial" w:hAnsi="Arial" w:cs="Arial"/>
          <w:u w:val="single"/>
        </w:rPr>
        <w:t>Order</w:t>
      </w:r>
    </w:p>
    <w:p w14:paraId="5A82D3EE" w14:textId="77777777" w:rsidR="00D04803" w:rsidRPr="00234FA3" w:rsidRDefault="00D04803" w:rsidP="00075473">
      <w:pPr>
        <w:pStyle w:val="ListParagraph"/>
        <w:numPr>
          <w:ilvl w:val="0"/>
          <w:numId w:val="4"/>
        </w:numPr>
        <w:spacing w:before="240" w:after="120" w:line="360" w:lineRule="auto"/>
        <w:ind w:left="1440" w:hanging="720"/>
        <w:contextualSpacing w:val="0"/>
        <w:rPr>
          <w:rFonts w:ascii="Arial" w:hAnsi="Arial" w:cs="Arial"/>
        </w:rPr>
      </w:pPr>
      <w:r w:rsidRPr="00234FA3">
        <w:rPr>
          <w:rFonts w:ascii="Arial" w:hAnsi="Arial" w:cs="Arial"/>
        </w:rPr>
        <w:t>The appeal is upheld.</w:t>
      </w:r>
    </w:p>
    <w:p w14:paraId="68094825" w14:textId="77777777" w:rsidR="00D04803" w:rsidRPr="00234FA3" w:rsidRDefault="00D04803" w:rsidP="00075473">
      <w:pPr>
        <w:pStyle w:val="ListParagraph"/>
        <w:numPr>
          <w:ilvl w:val="0"/>
          <w:numId w:val="4"/>
        </w:numPr>
        <w:spacing w:before="240" w:after="120" w:line="360" w:lineRule="auto"/>
        <w:ind w:left="1440" w:hanging="720"/>
        <w:contextualSpacing w:val="0"/>
        <w:rPr>
          <w:rFonts w:ascii="Arial" w:hAnsi="Arial" w:cs="Arial"/>
        </w:rPr>
      </w:pPr>
      <w:r w:rsidRPr="00234FA3">
        <w:rPr>
          <w:rFonts w:ascii="Arial" w:hAnsi="Arial" w:cs="Arial"/>
        </w:rPr>
        <w:t>The judgment of the Labour Court delivered on 30 July 2024 is set aside and substituted with:</w:t>
      </w:r>
    </w:p>
    <w:p w14:paraId="4721A8DB" w14:textId="77777777" w:rsidR="00450D6A" w:rsidRPr="00234FA3" w:rsidRDefault="00450D6A" w:rsidP="00234FA3">
      <w:pPr>
        <w:spacing w:before="240" w:after="120" w:line="360" w:lineRule="auto"/>
        <w:ind w:left="2160" w:hanging="720"/>
        <w:rPr>
          <w:rFonts w:ascii="Arial" w:hAnsi="Arial" w:cs="Arial"/>
          <w:i/>
          <w:iCs/>
          <w:sz w:val="22"/>
          <w:szCs w:val="22"/>
        </w:rPr>
      </w:pPr>
      <w:r w:rsidRPr="00234FA3">
        <w:rPr>
          <w:rFonts w:ascii="Arial" w:hAnsi="Arial" w:cs="Arial"/>
          <w:i/>
          <w:iCs/>
          <w:sz w:val="22"/>
          <w:szCs w:val="22"/>
        </w:rPr>
        <w:t>“(a)</w:t>
      </w:r>
      <w:r w:rsidR="00234FA3">
        <w:rPr>
          <w:rFonts w:ascii="Arial" w:hAnsi="Arial" w:cs="Arial"/>
          <w:i/>
          <w:iCs/>
          <w:sz w:val="22"/>
          <w:szCs w:val="22"/>
        </w:rPr>
        <w:tab/>
      </w:r>
      <w:r w:rsidRPr="00234FA3">
        <w:rPr>
          <w:rFonts w:ascii="Arial" w:hAnsi="Arial" w:cs="Arial"/>
          <w:i/>
          <w:iCs/>
          <w:sz w:val="22"/>
          <w:szCs w:val="22"/>
        </w:rPr>
        <w:t xml:space="preserve"> The arbitration award dated 28 May 2021 is reviewed and set aside.</w:t>
      </w:r>
    </w:p>
    <w:p w14:paraId="7157A53C" w14:textId="77777777" w:rsidR="00450D6A" w:rsidRPr="00234FA3" w:rsidRDefault="00450D6A" w:rsidP="00234FA3">
      <w:pPr>
        <w:spacing w:before="240" w:after="120" w:line="360" w:lineRule="auto"/>
        <w:ind w:left="2160" w:hanging="720"/>
        <w:rPr>
          <w:rFonts w:ascii="Arial" w:hAnsi="Arial" w:cs="Arial"/>
          <w:i/>
          <w:iCs/>
          <w:sz w:val="22"/>
          <w:szCs w:val="22"/>
        </w:rPr>
      </w:pPr>
      <w:r w:rsidRPr="00234FA3">
        <w:rPr>
          <w:rFonts w:ascii="Arial" w:hAnsi="Arial" w:cs="Arial"/>
          <w:i/>
          <w:iCs/>
          <w:sz w:val="22"/>
          <w:szCs w:val="22"/>
        </w:rPr>
        <w:t xml:space="preserve">(b) </w:t>
      </w:r>
      <w:r w:rsidR="00234FA3">
        <w:rPr>
          <w:rFonts w:ascii="Arial" w:hAnsi="Arial" w:cs="Arial"/>
          <w:i/>
          <w:iCs/>
          <w:sz w:val="22"/>
          <w:szCs w:val="22"/>
        </w:rPr>
        <w:tab/>
      </w:r>
      <w:r w:rsidRPr="00234FA3">
        <w:rPr>
          <w:rFonts w:ascii="Arial" w:hAnsi="Arial" w:cs="Arial"/>
          <w:i/>
          <w:iCs/>
          <w:sz w:val="22"/>
          <w:szCs w:val="22"/>
        </w:rPr>
        <w:t>The appellant did not dismiss the third respondent;</w:t>
      </w:r>
    </w:p>
    <w:p w14:paraId="4A6ADA2B" w14:textId="77777777" w:rsidR="00450D6A" w:rsidRPr="00234FA3" w:rsidRDefault="00450D6A" w:rsidP="00234FA3">
      <w:pPr>
        <w:spacing w:before="240" w:after="120" w:line="360" w:lineRule="auto"/>
        <w:ind w:left="2160" w:hanging="720"/>
        <w:rPr>
          <w:rFonts w:ascii="Arial" w:hAnsi="Arial" w:cs="Arial"/>
          <w:i/>
          <w:iCs/>
          <w:sz w:val="22"/>
          <w:szCs w:val="22"/>
        </w:rPr>
      </w:pPr>
      <w:r w:rsidRPr="00234FA3">
        <w:rPr>
          <w:rFonts w:ascii="Arial" w:hAnsi="Arial" w:cs="Arial"/>
          <w:i/>
          <w:iCs/>
          <w:sz w:val="22"/>
          <w:szCs w:val="22"/>
        </w:rPr>
        <w:t xml:space="preserve">(c) </w:t>
      </w:r>
      <w:r w:rsidR="00234FA3">
        <w:rPr>
          <w:rFonts w:ascii="Arial" w:hAnsi="Arial" w:cs="Arial"/>
          <w:i/>
          <w:iCs/>
          <w:sz w:val="22"/>
          <w:szCs w:val="22"/>
        </w:rPr>
        <w:tab/>
      </w:r>
      <w:r w:rsidRPr="00234FA3">
        <w:rPr>
          <w:rFonts w:ascii="Arial" w:hAnsi="Arial" w:cs="Arial"/>
          <w:i/>
          <w:iCs/>
          <w:sz w:val="22"/>
          <w:szCs w:val="22"/>
        </w:rPr>
        <w:t>There is no order as to costs.”</w:t>
      </w:r>
    </w:p>
    <w:p w14:paraId="004088B4" w14:textId="77777777" w:rsidR="00D04803" w:rsidRPr="00234FA3" w:rsidRDefault="00D04803" w:rsidP="00075473">
      <w:pPr>
        <w:pStyle w:val="ListParagraph"/>
        <w:numPr>
          <w:ilvl w:val="0"/>
          <w:numId w:val="4"/>
        </w:numPr>
        <w:spacing w:before="240" w:after="120" w:line="360" w:lineRule="auto"/>
        <w:ind w:left="1440" w:hanging="720"/>
        <w:contextualSpacing w:val="0"/>
        <w:rPr>
          <w:rFonts w:ascii="Arial" w:hAnsi="Arial" w:cs="Arial"/>
        </w:rPr>
      </w:pPr>
      <w:r w:rsidRPr="00234FA3">
        <w:rPr>
          <w:rFonts w:ascii="Arial" w:hAnsi="Arial" w:cs="Arial"/>
        </w:rPr>
        <w:t>There is no order as to costs in this appeal.</w:t>
      </w:r>
    </w:p>
    <w:p w14:paraId="46C91624" w14:textId="77777777" w:rsidR="00D04803" w:rsidRPr="00234FA3" w:rsidRDefault="00D04803" w:rsidP="00234FA3">
      <w:pPr>
        <w:spacing w:before="240" w:after="120" w:line="360" w:lineRule="auto"/>
        <w:rPr>
          <w:rFonts w:ascii="Arial" w:hAnsi="Arial" w:cs="Arial"/>
        </w:rPr>
      </w:pPr>
    </w:p>
    <w:p w14:paraId="2B633820" w14:textId="77777777" w:rsidR="00D04803" w:rsidRPr="00234FA3" w:rsidRDefault="00D04803" w:rsidP="00234FA3">
      <w:pPr>
        <w:spacing w:before="240" w:after="120" w:line="360" w:lineRule="auto"/>
        <w:rPr>
          <w:rFonts w:ascii="Arial" w:hAnsi="Arial" w:cs="Arial"/>
        </w:rPr>
      </w:pPr>
    </w:p>
    <w:p w14:paraId="186CEBB5" w14:textId="77777777" w:rsidR="00D04803" w:rsidRPr="00234FA3" w:rsidRDefault="00D04803" w:rsidP="00234FA3">
      <w:pPr>
        <w:spacing w:before="240" w:after="120" w:line="360" w:lineRule="auto"/>
        <w:jc w:val="both"/>
        <w:rPr>
          <w:rFonts w:ascii="Arial" w:hAnsi="Arial" w:cs="Arial"/>
          <w:u w:val="single"/>
        </w:rPr>
      </w:pPr>
    </w:p>
    <w:p w14:paraId="259B4E8E" w14:textId="77777777" w:rsidR="00D04803" w:rsidRPr="00234FA3" w:rsidRDefault="00D04803" w:rsidP="00234FA3">
      <w:pPr>
        <w:spacing w:before="240" w:after="120" w:line="360" w:lineRule="auto"/>
        <w:jc w:val="right"/>
        <w:rPr>
          <w:rFonts w:ascii="Arial" w:hAnsi="Arial" w:cs="Arial"/>
          <w:color w:val="000000" w:themeColor="text1"/>
          <w:sz w:val="28"/>
          <w:szCs w:val="28"/>
          <w:lang w:val="en-GB"/>
        </w:rPr>
      </w:pPr>
      <w:r w:rsidRPr="00234FA3">
        <w:rPr>
          <w:rFonts w:ascii="Arial" w:hAnsi="Arial" w:cs="Arial"/>
          <w:color w:val="000000" w:themeColor="text1"/>
          <w:sz w:val="28"/>
          <w:szCs w:val="28"/>
          <w:lang w:val="en-GB"/>
        </w:rPr>
        <w:t>____________________</w:t>
      </w:r>
    </w:p>
    <w:p w14:paraId="52216238" w14:textId="77777777" w:rsidR="00D04803" w:rsidRPr="00234FA3" w:rsidRDefault="00D04803" w:rsidP="00234FA3">
      <w:pPr>
        <w:spacing w:before="240" w:after="120" w:line="360" w:lineRule="auto"/>
        <w:jc w:val="right"/>
        <w:rPr>
          <w:rFonts w:ascii="Arial" w:hAnsi="Arial" w:cs="Arial"/>
          <w:color w:val="000000" w:themeColor="text1"/>
          <w:lang w:val="en-GB"/>
        </w:rPr>
      </w:pPr>
      <w:r w:rsidRPr="00234FA3">
        <w:rPr>
          <w:rFonts w:ascii="Arial" w:hAnsi="Arial" w:cs="Arial"/>
          <w:color w:val="000000" w:themeColor="text1"/>
          <w:lang w:val="en-GB"/>
        </w:rPr>
        <w:t>J</w:t>
      </w:r>
      <w:r w:rsidR="00234FA3">
        <w:rPr>
          <w:rFonts w:ascii="Arial" w:hAnsi="Arial" w:cs="Arial"/>
          <w:color w:val="000000" w:themeColor="text1"/>
          <w:lang w:val="en-GB"/>
        </w:rPr>
        <w:t>.</w:t>
      </w:r>
      <w:r w:rsidRPr="00234FA3">
        <w:rPr>
          <w:rFonts w:ascii="Arial" w:hAnsi="Arial" w:cs="Arial"/>
          <w:color w:val="000000" w:themeColor="text1"/>
          <w:lang w:val="en-GB"/>
        </w:rPr>
        <w:t xml:space="preserve"> T</w:t>
      </w:r>
      <w:r w:rsidR="00234FA3">
        <w:rPr>
          <w:rFonts w:ascii="Arial" w:hAnsi="Arial" w:cs="Arial"/>
          <w:color w:val="000000" w:themeColor="text1"/>
          <w:lang w:val="en-GB"/>
        </w:rPr>
        <w:t>.</w:t>
      </w:r>
      <w:r w:rsidRPr="00234FA3">
        <w:rPr>
          <w:rFonts w:ascii="Arial" w:hAnsi="Arial" w:cs="Arial"/>
          <w:color w:val="000000" w:themeColor="text1"/>
          <w:lang w:val="en-GB"/>
        </w:rPr>
        <w:t xml:space="preserve"> Djaje</w:t>
      </w:r>
    </w:p>
    <w:p w14:paraId="65C1E6DE" w14:textId="77777777" w:rsidR="00D04803" w:rsidRPr="00234FA3" w:rsidRDefault="00D04803" w:rsidP="00234FA3">
      <w:pPr>
        <w:spacing w:before="240" w:after="120" w:line="360" w:lineRule="auto"/>
        <w:jc w:val="right"/>
        <w:rPr>
          <w:rFonts w:ascii="Arial" w:hAnsi="Arial" w:cs="Arial"/>
          <w:color w:val="000000" w:themeColor="text1"/>
          <w:lang w:val="en-GB"/>
        </w:rPr>
      </w:pPr>
      <w:r w:rsidRPr="00234FA3">
        <w:rPr>
          <w:rFonts w:ascii="Arial" w:hAnsi="Arial" w:cs="Arial"/>
          <w:color w:val="000000" w:themeColor="text1"/>
          <w:lang w:val="en-GB"/>
        </w:rPr>
        <w:t xml:space="preserve">Acting Judge of the Labour Appeal Court </w:t>
      </w:r>
      <w:r w:rsidR="00234FA3">
        <w:rPr>
          <w:rFonts w:ascii="Arial" w:hAnsi="Arial" w:cs="Arial"/>
          <w:color w:val="000000" w:themeColor="text1"/>
          <w:lang w:val="en-GB"/>
        </w:rPr>
        <w:t>o</w:t>
      </w:r>
      <w:r w:rsidRPr="00234FA3">
        <w:rPr>
          <w:rFonts w:ascii="Arial" w:hAnsi="Arial" w:cs="Arial"/>
          <w:color w:val="000000" w:themeColor="text1"/>
          <w:lang w:val="en-GB"/>
        </w:rPr>
        <w:t>f South Africa</w:t>
      </w:r>
    </w:p>
    <w:p w14:paraId="5AC2BB66" w14:textId="77777777" w:rsidR="00234FA3" w:rsidRDefault="00234FA3" w:rsidP="00234FA3">
      <w:pPr>
        <w:spacing w:before="240" w:after="120" w:line="360" w:lineRule="auto"/>
        <w:rPr>
          <w:rFonts w:ascii="Arial" w:hAnsi="Arial" w:cs="Arial"/>
          <w:color w:val="000000" w:themeColor="text1"/>
          <w:lang w:val="en-GB"/>
        </w:rPr>
      </w:pPr>
    </w:p>
    <w:p w14:paraId="7B9C0F58" w14:textId="77777777" w:rsidR="00D04803" w:rsidRDefault="00D04803" w:rsidP="00234FA3">
      <w:pPr>
        <w:spacing w:before="240" w:after="120" w:line="360" w:lineRule="auto"/>
        <w:rPr>
          <w:rFonts w:ascii="Arial" w:hAnsi="Arial" w:cs="Arial"/>
          <w:color w:val="000000" w:themeColor="text1"/>
          <w:lang w:val="en-GB"/>
        </w:rPr>
      </w:pPr>
      <w:r w:rsidRPr="00234FA3">
        <w:rPr>
          <w:rFonts w:ascii="Arial" w:hAnsi="Arial" w:cs="Arial"/>
          <w:color w:val="000000" w:themeColor="text1"/>
          <w:lang w:val="en-GB"/>
        </w:rPr>
        <w:t>Mahalelo ADJP and Waglay AJA concur</w:t>
      </w:r>
      <w:r w:rsidR="00234FA3">
        <w:rPr>
          <w:rFonts w:ascii="Arial" w:hAnsi="Arial" w:cs="Arial"/>
          <w:color w:val="000000" w:themeColor="text1"/>
          <w:lang w:val="en-GB"/>
        </w:rPr>
        <w:t>.</w:t>
      </w:r>
    </w:p>
    <w:p w14:paraId="2D059443" w14:textId="77777777" w:rsidR="0031168B" w:rsidRDefault="0031168B" w:rsidP="00234FA3">
      <w:pPr>
        <w:spacing w:before="240" w:after="120" w:line="360" w:lineRule="auto"/>
        <w:rPr>
          <w:rFonts w:ascii="Arial" w:hAnsi="Arial" w:cs="Arial"/>
          <w:color w:val="000000" w:themeColor="text1"/>
          <w:lang w:val="en-GB"/>
        </w:rPr>
      </w:pPr>
    </w:p>
    <w:p w14:paraId="4A159A64" w14:textId="77777777" w:rsidR="0031168B" w:rsidRDefault="0031168B" w:rsidP="00234FA3">
      <w:pPr>
        <w:spacing w:before="240" w:after="120" w:line="360" w:lineRule="auto"/>
        <w:rPr>
          <w:rFonts w:ascii="Arial" w:hAnsi="Arial" w:cs="Arial"/>
          <w:color w:val="000000" w:themeColor="text1"/>
          <w:lang w:val="en-GB"/>
        </w:rPr>
      </w:pPr>
    </w:p>
    <w:p w14:paraId="39D0D62E" w14:textId="77777777" w:rsidR="0031168B" w:rsidRDefault="0031168B" w:rsidP="00234FA3">
      <w:pPr>
        <w:spacing w:before="240" w:after="120" w:line="360" w:lineRule="auto"/>
        <w:rPr>
          <w:rFonts w:ascii="Arial" w:hAnsi="Arial" w:cs="Arial"/>
          <w:color w:val="000000" w:themeColor="text1"/>
          <w:lang w:val="en-GB"/>
        </w:rPr>
      </w:pPr>
    </w:p>
    <w:p w14:paraId="1BB5731D" w14:textId="77777777" w:rsidR="00D04803" w:rsidRPr="00234FA3" w:rsidRDefault="00D04803" w:rsidP="00234FA3">
      <w:pPr>
        <w:spacing w:before="240" w:after="120" w:line="360" w:lineRule="auto"/>
        <w:rPr>
          <w:rFonts w:ascii="Arial" w:hAnsi="Arial" w:cs="Arial"/>
          <w:color w:val="000000" w:themeColor="text1"/>
          <w:u w:val="single"/>
          <w:lang w:val="en-GB"/>
        </w:rPr>
      </w:pPr>
      <w:r w:rsidRPr="00234FA3">
        <w:rPr>
          <w:rFonts w:ascii="Arial" w:hAnsi="Arial" w:cs="Arial"/>
          <w:color w:val="000000" w:themeColor="text1"/>
          <w:u w:val="single"/>
          <w:lang w:val="en-GB"/>
        </w:rPr>
        <w:lastRenderedPageBreak/>
        <w:t xml:space="preserve">APPEARANCES: </w:t>
      </w:r>
    </w:p>
    <w:p w14:paraId="1B0DCF31" w14:textId="77777777" w:rsidR="00E7037D" w:rsidRPr="00234FA3" w:rsidRDefault="00D04803" w:rsidP="00234FA3">
      <w:pPr>
        <w:spacing w:before="240" w:after="120" w:line="360" w:lineRule="auto"/>
        <w:rPr>
          <w:rFonts w:ascii="Arial" w:hAnsi="Arial" w:cs="Arial"/>
          <w:color w:val="000000" w:themeColor="text1"/>
          <w:lang w:val="en-GB"/>
        </w:rPr>
      </w:pPr>
      <w:r w:rsidRPr="00234FA3">
        <w:rPr>
          <w:rFonts w:ascii="Arial" w:hAnsi="Arial" w:cs="Arial"/>
          <w:color w:val="000000" w:themeColor="text1"/>
          <w:lang w:val="en-GB"/>
        </w:rPr>
        <w:t xml:space="preserve">For the Appellant: </w:t>
      </w:r>
      <w:r w:rsidR="00E7037D" w:rsidRPr="00234FA3">
        <w:rPr>
          <w:rFonts w:ascii="Arial" w:hAnsi="Arial" w:cs="Arial"/>
          <w:color w:val="000000" w:themeColor="text1"/>
          <w:lang w:val="en-GB"/>
        </w:rPr>
        <w:tab/>
      </w:r>
      <w:r w:rsidR="00E7037D" w:rsidRPr="00234FA3">
        <w:rPr>
          <w:rFonts w:ascii="Arial" w:hAnsi="Arial" w:cs="Arial"/>
          <w:color w:val="000000" w:themeColor="text1"/>
          <w:lang w:val="en-GB"/>
        </w:rPr>
        <w:tab/>
      </w:r>
      <w:r w:rsidR="00E7037D" w:rsidRPr="00234FA3">
        <w:rPr>
          <w:rFonts w:ascii="Arial" w:hAnsi="Arial" w:cs="Arial"/>
          <w:color w:val="000000" w:themeColor="text1"/>
          <w:lang w:val="en-GB"/>
        </w:rPr>
        <w:tab/>
        <w:t>Adv M J Van As</w:t>
      </w:r>
    </w:p>
    <w:p w14:paraId="7BD2525B" w14:textId="77777777" w:rsidR="00E74DD6" w:rsidRPr="00234FA3" w:rsidRDefault="00E7037D" w:rsidP="00234FA3">
      <w:pPr>
        <w:spacing w:before="240" w:after="120" w:line="360" w:lineRule="auto"/>
        <w:rPr>
          <w:rFonts w:ascii="Arial" w:hAnsi="Arial" w:cs="Arial"/>
          <w:color w:val="000000" w:themeColor="text1"/>
          <w:lang w:val="en-GB"/>
        </w:rPr>
      </w:pPr>
      <w:r w:rsidRPr="00234FA3">
        <w:rPr>
          <w:rFonts w:ascii="Arial" w:hAnsi="Arial" w:cs="Arial"/>
          <w:color w:val="000000" w:themeColor="text1"/>
          <w:lang w:val="en-GB"/>
        </w:rPr>
        <w:tab/>
      </w:r>
      <w:r w:rsidRPr="00234FA3">
        <w:rPr>
          <w:rFonts w:ascii="Arial" w:hAnsi="Arial" w:cs="Arial"/>
          <w:color w:val="000000" w:themeColor="text1"/>
          <w:lang w:val="en-GB"/>
        </w:rPr>
        <w:tab/>
      </w:r>
      <w:r w:rsidRPr="00234FA3">
        <w:rPr>
          <w:rFonts w:ascii="Arial" w:hAnsi="Arial" w:cs="Arial"/>
          <w:color w:val="000000" w:themeColor="text1"/>
          <w:lang w:val="en-GB"/>
        </w:rPr>
        <w:tab/>
      </w:r>
      <w:r w:rsidR="00234FA3">
        <w:rPr>
          <w:rFonts w:ascii="Arial" w:hAnsi="Arial" w:cs="Arial"/>
          <w:color w:val="000000" w:themeColor="text1"/>
          <w:lang w:val="en-GB"/>
        </w:rPr>
        <w:tab/>
      </w:r>
      <w:r w:rsidR="00234FA3">
        <w:rPr>
          <w:rFonts w:ascii="Arial" w:hAnsi="Arial" w:cs="Arial"/>
          <w:color w:val="000000" w:themeColor="text1"/>
          <w:lang w:val="en-GB"/>
        </w:rPr>
        <w:tab/>
      </w:r>
      <w:r w:rsidR="00D04803" w:rsidRPr="00234FA3">
        <w:rPr>
          <w:rFonts w:ascii="Arial" w:hAnsi="Arial" w:cs="Arial"/>
          <w:color w:val="000000" w:themeColor="text1"/>
          <w:lang w:val="en-GB"/>
        </w:rPr>
        <w:t>Instructed by:</w:t>
      </w:r>
      <w:r w:rsidR="00234FA3" w:rsidRPr="00234FA3">
        <w:rPr>
          <w:rFonts w:ascii="Arial" w:hAnsi="Arial" w:cs="Arial"/>
          <w:color w:val="000000" w:themeColor="text1"/>
          <w:lang w:val="en-GB"/>
        </w:rPr>
        <w:t xml:space="preserve"> </w:t>
      </w:r>
      <w:r w:rsidR="0010780E" w:rsidRPr="00234FA3">
        <w:rPr>
          <w:rFonts w:ascii="Arial" w:hAnsi="Arial" w:cs="Arial"/>
          <w:color w:val="000000" w:themeColor="text1"/>
          <w:lang w:val="en-GB"/>
        </w:rPr>
        <w:t>Fluxmans Attorneys</w:t>
      </w:r>
    </w:p>
    <w:p w14:paraId="4EAE58CE" w14:textId="77777777" w:rsidR="00D04803" w:rsidRPr="00234FA3" w:rsidRDefault="00D04803" w:rsidP="00234FA3">
      <w:pPr>
        <w:spacing w:before="240" w:after="120" w:line="360" w:lineRule="auto"/>
        <w:rPr>
          <w:rFonts w:ascii="Arial" w:hAnsi="Arial" w:cs="Arial"/>
          <w:color w:val="000000" w:themeColor="text1"/>
          <w:lang w:val="en-GB"/>
        </w:rPr>
      </w:pPr>
      <w:r w:rsidRPr="00234FA3">
        <w:rPr>
          <w:rFonts w:ascii="Arial" w:hAnsi="Arial" w:cs="Arial"/>
          <w:color w:val="000000" w:themeColor="text1"/>
          <w:lang w:val="en-GB"/>
        </w:rPr>
        <w:t xml:space="preserve">For the </w:t>
      </w:r>
      <w:r w:rsidR="00C04D11" w:rsidRPr="00234FA3">
        <w:rPr>
          <w:rFonts w:ascii="Arial" w:hAnsi="Arial" w:cs="Arial"/>
          <w:color w:val="000000" w:themeColor="text1"/>
          <w:lang w:val="en-GB"/>
        </w:rPr>
        <w:t>Third</w:t>
      </w:r>
      <w:r w:rsidRPr="00234FA3">
        <w:rPr>
          <w:rFonts w:ascii="Arial" w:hAnsi="Arial" w:cs="Arial"/>
          <w:color w:val="000000" w:themeColor="text1"/>
          <w:lang w:val="en-GB"/>
        </w:rPr>
        <w:t xml:space="preserve"> Respondent:</w:t>
      </w:r>
      <w:r w:rsidRPr="00234FA3">
        <w:rPr>
          <w:rFonts w:ascii="Arial" w:hAnsi="Arial" w:cs="Arial"/>
          <w:color w:val="000000" w:themeColor="text1"/>
          <w:lang w:val="en-GB"/>
        </w:rPr>
        <w:tab/>
      </w:r>
      <w:r w:rsidRPr="00234FA3">
        <w:rPr>
          <w:rFonts w:ascii="Arial" w:hAnsi="Arial" w:cs="Arial"/>
          <w:color w:val="000000" w:themeColor="text1"/>
          <w:lang w:val="en-GB"/>
        </w:rPr>
        <w:tab/>
      </w:r>
      <w:r w:rsidR="00C04D11" w:rsidRPr="00234FA3">
        <w:rPr>
          <w:rFonts w:ascii="Arial" w:hAnsi="Arial" w:cs="Arial"/>
          <w:color w:val="000000" w:themeColor="text1"/>
          <w:lang w:val="en-GB"/>
        </w:rPr>
        <w:t>Mr L Sebako</w:t>
      </w:r>
    </w:p>
    <w:p w14:paraId="1191B852" w14:textId="77777777" w:rsidR="00D04803" w:rsidRPr="00234FA3" w:rsidRDefault="001A6F44" w:rsidP="00234FA3">
      <w:pPr>
        <w:spacing w:before="240" w:after="120" w:line="360" w:lineRule="auto"/>
        <w:rPr>
          <w:rFonts w:ascii="Arial" w:hAnsi="Arial" w:cs="Arial"/>
          <w:color w:val="000000" w:themeColor="text1"/>
          <w:lang w:val="en-GB"/>
        </w:rPr>
      </w:pPr>
      <w:r w:rsidRPr="00234FA3">
        <w:rPr>
          <w:rFonts w:ascii="Arial" w:hAnsi="Arial" w:cs="Arial"/>
          <w:color w:val="000000" w:themeColor="text1"/>
          <w:lang w:val="en-GB"/>
        </w:rPr>
        <w:tab/>
      </w:r>
      <w:r w:rsidRPr="00234FA3">
        <w:rPr>
          <w:rFonts w:ascii="Arial" w:hAnsi="Arial" w:cs="Arial"/>
          <w:color w:val="000000" w:themeColor="text1"/>
          <w:lang w:val="en-GB"/>
        </w:rPr>
        <w:tab/>
      </w:r>
      <w:r w:rsidRPr="00234FA3">
        <w:rPr>
          <w:rFonts w:ascii="Arial" w:hAnsi="Arial" w:cs="Arial"/>
          <w:color w:val="000000" w:themeColor="text1"/>
          <w:lang w:val="en-GB"/>
        </w:rPr>
        <w:tab/>
      </w:r>
      <w:r w:rsidRPr="00234FA3">
        <w:rPr>
          <w:rFonts w:ascii="Arial" w:hAnsi="Arial" w:cs="Arial"/>
          <w:color w:val="000000" w:themeColor="text1"/>
          <w:lang w:val="en-GB"/>
        </w:rPr>
        <w:tab/>
      </w:r>
      <w:r w:rsidR="00234FA3">
        <w:rPr>
          <w:rFonts w:ascii="Arial" w:hAnsi="Arial" w:cs="Arial"/>
          <w:color w:val="000000" w:themeColor="text1"/>
          <w:lang w:val="en-GB"/>
        </w:rPr>
        <w:tab/>
      </w:r>
      <w:r w:rsidR="00D04803" w:rsidRPr="00234FA3">
        <w:rPr>
          <w:rFonts w:ascii="Arial" w:hAnsi="Arial" w:cs="Arial"/>
          <w:color w:val="000000" w:themeColor="text1"/>
          <w:lang w:val="en-GB"/>
        </w:rPr>
        <w:t>Instructed by:</w:t>
      </w:r>
      <w:r w:rsidR="00234FA3">
        <w:rPr>
          <w:rFonts w:ascii="Arial" w:hAnsi="Arial" w:cs="Arial"/>
          <w:color w:val="000000" w:themeColor="text1"/>
          <w:lang w:val="en-GB"/>
        </w:rPr>
        <w:t xml:space="preserve"> </w:t>
      </w:r>
      <w:r w:rsidR="00166197" w:rsidRPr="00234FA3">
        <w:rPr>
          <w:rFonts w:ascii="Arial" w:hAnsi="Arial" w:cs="Arial"/>
          <w:color w:val="000000" w:themeColor="text1"/>
          <w:lang w:val="en-GB"/>
        </w:rPr>
        <w:t>Sebako Attorneys</w:t>
      </w:r>
      <w:r w:rsidR="00D04803" w:rsidRPr="00234FA3">
        <w:rPr>
          <w:rFonts w:ascii="Arial" w:hAnsi="Arial" w:cs="Arial"/>
          <w:color w:val="000000" w:themeColor="text1"/>
          <w:lang w:val="en-GB"/>
        </w:rPr>
        <w:tab/>
      </w:r>
      <w:r w:rsidR="00D04803" w:rsidRPr="00234FA3">
        <w:rPr>
          <w:rFonts w:ascii="Arial" w:hAnsi="Arial" w:cs="Arial"/>
          <w:color w:val="000000" w:themeColor="text1"/>
          <w:lang w:val="en-GB"/>
        </w:rPr>
        <w:tab/>
      </w:r>
    </w:p>
    <w:p w14:paraId="1E58E155" w14:textId="77777777" w:rsidR="00AE7831" w:rsidRPr="00234FA3" w:rsidRDefault="00AE7831" w:rsidP="00234FA3">
      <w:pPr>
        <w:pStyle w:val="NormalWeb"/>
        <w:spacing w:before="240" w:beforeAutospacing="0" w:after="120" w:afterAutospacing="0" w:line="360" w:lineRule="auto"/>
        <w:jc w:val="both"/>
        <w:rPr>
          <w:rFonts w:ascii="Arial" w:hAnsi="Arial" w:cs="Arial"/>
          <w:u w:val="single"/>
        </w:rPr>
      </w:pPr>
    </w:p>
    <w:sectPr w:rsidR="00AE7831" w:rsidRPr="00234FA3" w:rsidSect="006608B3">
      <w:headerReference w:type="even" r:id="rId11"/>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9B2DA" w14:textId="77777777" w:rsidR="00BF3B6F" w:rsidRDefault="00BF3B6F" w:rsidP="00F11663">
      <w:pPr>
        <w:spacing w:after="0" w:line="240" w:lineRule="auto"/>
      </w:pPr>
      <w:r>
        <w:separator/>
      </w:r>
    </w:p>
  </w:endnote>
  <w:endnote w:type="continuationSeparator" w:id="0">
    <w:p w14:paraId="2429687A" w14:textId="77777777" w:rsidR="00BF3B6F" w:rsidRDefault="00BF3B6F" w:rsidP="00F1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460B0" w14:textId="77777777" w:rsidR="00BF3B6F" w:rsidRDefault="00BF3B6F" w:rsidP="00F11663">
      <w:pPr>
        <w:spacing w:after="0" w:line="240" w:lineRule="auto"/>
      </w:pPr>
      <w:r>
        <w:separator/>
      </w:r>
    </w:p>
  </w:footnote>
  <w:footnote w:type="continuationSeparator" w:id="0">
    <w:p w14:paraId="0D49CC6D" w14:textId="77777777" w:rsidR="00BF3B6F" w:rsidRDefault="00BF3B6F" w:rsidP="00F11663">
      <w:pPr>
        <w:spacing w:after="0" w:line="240" w:lineRule="auto"/>
      </w:pPr>
      <w:r>
        <w:continuationSeparator/>
      </w:r>
    </w:p>
  </w:footnote>
  <w:footnote w:id="1">
    <w:p w14:paraId="3445B113" w14:textId="77777777" w:rsidR="00A67BAB" w:rsidRDefault="004D0EDB" w:rsidP="00234FA3">
      <w:pPr>
        <w:pStyle w:val="FootnoteText"/>
        <w:jc w:val="both"/>
      </w:pPr>
      <w:r w:rsidRPr="00234FA3">
        <w:rPr>
          <w:rStyle w:val="FootnoteReference"/>
          <w:rFonts w:ascii="Arial" w:hAnsi="Arial" w:cs="Arial"/>
        </w:rPr>
        <w:footnoteRef/>
      </w:r>
      <w:r w:rsidRPr="00234FA3">
        <w:rPr>
          <w:rFonts w:ascii="Arial" w:hAnsi="Arial" w:cs="Arial"/>
        </w:rPr>
        <w:t xml:space="preserve"> </w:t>
      </w:r>
      <w:r w:rsidRPr="00234FA3">
        <w:rPr>
          <w:rFonts w:ascii="Arial" w:hAnsi="Arial" w:cs="Arial"/>
          <w:lang w:val="en-US"/>
        </w:rPr>
        <w:t>Act 66 of 1995, as amended.</w:t>
      </w:r>
    </w:p>
  </w:footnote>
  <w:footnote w:id="2">
    <w:p w14:paraId="70A6FDDE" w14:textId="77777777" w:rsidR="00A67BAB" w:rsidRDefault="00DE554B" w:rsidP="00234FA3">
      <w:pPr>
        <w:pStyle w:val="FootnoteText"/>
        <w:jc w:val="both"/>
      </w:pPr>
      <w:r w:rsidRPr="00234FA3">
        <w:rPr>
          <w:rStyle w:val="FootnoteReference"/>
          <w:rFonts w:ascii="Arial" w:hAnsi="Arial" w:cs="Arial"/>
        </w:rPr>
        <w:footnoteRef/>
      </w:r>
      <w:r w:rsidRPr="00234FA3">
        <w:rPr>
          <w:rFonts w:ascii="Arial" w:hAnsi="Arial" w:cs="Arial"/>
        </w:rPr>
        <w:t xml:space="preserve"> 2018 (2) SA 314 (SCA).</w:t>
      </w:r>
    </w:p>
  </w:footnote>
  <w:footnote w:id="3">
    <w:p w14:paraId="516610ED" w14:textId="77777777" w:rsidR="00A67BAB" w:rsidRDefault="00DE554B" w:rsidP="00234FA3">
      <w:pPr>
        <w:pStyle w:val="FootnoteText"/>
        <w:jc w:val="both"/>
      </w:pPr>
      <w:r w:rsidRPr="00234FA3">
        <w:rPr>
          <w:rStyle w:val="FootnoteReference"/>
          <w:rFonts w:ascii="Arial" w:hAnsi="Arial" w:cs="Arial"/>
        </w:rPr>
        <w:footnoteRef/>
      </w:r>
      <w:r w:rsidRPr="00234FA3">
        <w:rPr>
          <w:rFonts w:ascii="Arial" w:hAnsi="Arial" w:cs="Arial"/>
        </w:rPr>
        <w:t xml:space="preserve"> 1927 AD 69 at p. 73.</w:t>
      </w:r>
    </w:p>
  </w:footnote>
  <w:footnote w:id="4">
    <w:p w14:paraId="53A447DC" w14:textId="77777777" w:rsidR="00A67BAB" w:rsidRDefault="00963FE4" w:rsidP="00234FA3">
      <w:pPr>
        <w:pStyle w:val="FootnoteText"/>
        <w:jc w:val="both"/>
      </w:pPr>
      <w:r w:rsidRPr="00234FA3">
        <w:rPr>
          <w:rStyle w:val="FootnoteReference"/>
          <w:rFonts w:ascii="Arial" w:hAnsi="Arial" w:cs="Arial"/>
        </w:rPr>
        <w:footnoteRef/>
      </w:r>
      <w:r w:rsidRPr="00234FA3">
        <w:rPr>
          <w:rFonts w:ascii="Arial" w:hAnsi="Arial" w:cs="Arial"/>
        </w:rPr>
        <w:t xml:space="preserve"> (2015) 36 ILJ 2832 (LAC) at para 44.</w:t>
      </w:r>
    </w:p>
  </w:footnote>
  <w:footnote w:id="5">
    <w:p w14:paraId="6065B51C" w14:textId="77777777" w:rsidR="00A67BAB" w:rsidRDefault="00963FE4" w:rsidP="00234FA3">
      <w:pPr>
        <w:pStyle w:val="FootnoteText"/>
        <w:jc w:val="both"/>
      </w:pPr>
      <w:r w:rsidRPr="00234FA3">
        <w:rPr>
          <w:rStyle w:val="FootnoteReference"/>
          <w:rFonts w:ascii="Arial" w:hAnsi="Arial" w:cs="Arial"/>
        </w:rPr>
        <w:footnoteRef/>
      </w:r>
      <w:r w:rsidRPr="00234FA3">
        <w:rPr>
          <w:rFonts w:ascii="Arial" w:hAnsi="Arial" w:cs="Arial"/>
        </w:rPr>
        <w:t xml:space="preserve"> (2008) 29 ILJ 964 (LAC) at para 100.</w:t>
      </w:r>
    </w:p>
  </w:footnote>
  <w:footnote w:id="6">
    <w:p w14:paraId="38E1EC7B" w14:textId="77777777" w:rsidR="00A67BAB" w:rsidRDefault="00963FE4" w:rsidP="00234FA3">
      <w:pPr>
        <w:pStyle w:val="FootnoteText"/>
        <w:jc w:val="both"/>
      </w:pPr>
      <w:r w:rsidRPr="00234FA3">
        <w:rPr>
          <w:rStyle w:val="FootnoteReference"/>
          <w:rFonts w:ascii="Arial" w:hAnsi="Arial" w:cs="Arial"/>
        </w:rPr>
        <w:footnoteRef/>
      </w:r>
      <w:r w:rsidRPr="00234FA3">
        <w:rPr>
          <w:rFonts w:ascii="Arial" w:hAnsi="Arial" w:cs="Arial"/>
        </w:rPr>
        <w:t xml:space="preserve"> (DA10/2012) [2014] ZALCJHB 32 (13 February 2014) at paras 34 to 36.</w:t>
      </w:r>
    </w:p>
  </w:footnote>
  <w:footnote w:id="7">
    <w:p w14:paraId="4E3A0772" w14:textId="77777777" w:rsidR="00A67BAB" w:rsidRDefault="00963FE4" w:rsidP="00234FA3">
      <w:pPr>
        <w:pStyle w:val="FootnoteText"/>
        <w:jc w:val="both"/>
      </w:pPr>
      <w:r w:rsidRPr="00234FA3">
        <w:rPr>
          <w:rStyle w:val="FootnoteReference"/>
          <w:rFonts w:ascii="Arial" w:hAnsi="Arial" w:cs="Arial"/>
        </w:rPr>
        <w:footnoteRef/>
      </w:r>
      <w:r w:rsidRPr="00234FA3">
        <w:rPr>
          <w:rFonts w:ascii="Arial" w:hAnsi="Arial" w:cs="Arial"/>
        </w:rPr>
        <w:t xml:space="preserve"> (2007) 28 ILJ 2405 (CC).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9486" w14:textId="77777777" w:rsidR="006608B3" w:rsidRDefault="00BF3B6F">
    <w:pPr>
      <w:pStyle w:val="Header"/>
    </w:pPr>
    <w:r>
      <w:rPr>
        <w:noProof/>
      </w:rPr>
      <w:pict w14:anchorId="5F690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73266" o:spid="_x0000_s1027" type="#_x0000_t136" alt="" style="position:absolute;margin-left:0;margin-top:0;width:772.5pt;height:1in;rotation:315;z-index:-251659776;mso-wrap-edited:f;mso-width-percent:0;mso-height-percent:0;mso-position-horizontal:center;mso-position-horizontal-relative:margin;mso-position-vertical:center;mso-position-vertical-relative:margin;mso-width-percent:0;mso-height-percent:0" o:allowincell="f" fillcolor="gray [1629]" stroked="f">
          <v:fill opacity=".5"/>
          <v:textpath style="font-family:&quot;Arial&quot;;font-size:64pt" string="LABOUR APPEAL COU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B5D2" w14:textId="77777777" w:rsidR="006608B3" w:rsidRPr="006608B3" w:rsidRDefault="00BF3B6F">
    <w:pPr>
      <w:pStyle w:val="Header"/>
      <w:jc w:val="center"/>
      <w:rPr>
        <w:rFonts w:ascii="Arial" w:hAnsi="Arial" w:cs="Arial"/>
      </w:rPr>
    </w:pPr>
    <w:r>
      <w:rPr>
        <w:noProof/>
      </w:rPr>
      <w:pict w14:anchorId="543F8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73267" o:spid="_x0000_s1026" type="#_x0000_t136" alt="" style="position:absolute;left:0;text-align:left;margin-left:0;margin-top:0;width:772.5pt;height:1in;rotation:315;z-index:-251658752;mso-wrap-edited:f;mso-width-percent:0;mso-height-percent:0;mso-position-horizontal:center;mso-position-horizontal-relative:margin;mso-position-vertical:center;mso-position-vertical-relative:margin;mso-width-percent:0;mso-height-percent:0" o:allowincell="f" fillcolor="gray [1629]" stroked="f">
          <v:fill opacity=".5"/>
          <v:textpath style="font-family:&quot;Arial&quot;;font-size:64pt" string="LABOUR APPEAL COURT"/>
          <w10:wrap anchorx="margin" anchory="margin"/>
        </v:shape>
      </w:pict>
    </w:r>
    <w:r w:rsidR="006608B3" w:rsidRPr="006608B3">
      <w:rPr>
        <w:rFonts w:ascii="Arial" w:hAnsi="Arial" w:cs="Arial"/>
      </w:rPr>
      <w:fldChar w:fldCharType="begin"/>
    </w:r>
    <w:r w:rsidR="006608B3" w:rsidRPr="006608B3">
      <w:rPr>
        <w:rFonts w:ascii="Arial" w:hAnsi="Arial" w:cs="Arial"/>
      </w:rPr>
      <w:instrText xml:space="preserve"> PAGE   \* MERGEFORMAT </w:instrText>
    </w:r>
    <w:r w:rsidR="006608B3" w:rsidRPr="006608B3">
      <w:rPr>
        <w:rFonts w:ascii="Arial" w:hAnsi="Arial" w:cs="Arial"/>
      </w:rPr>
      <w:fldChar w:fldCharType="separate"/>
    </w:r>
    <w:r w:rsidR="006608B3" w:rsidRPr="006608B3">
      <w:rPr>
        <w:rFonts w:ascii="Arial" w:hAnsi="Arial" w:cs="Arial"/>
        <w:noProof/>
      </w:rPr>
      <w:t>2</w:t>
    </w:r>
    <w:r w:rsidR="006608B3" w:rsidRPr="006608B3">
      <w:rPr>
        <w:rFonts w:ascii="Arial" w:hAnsi="Arial" w:cs="Arial"/>
      </w:rPr>
      <w:fldChar w:fldCharType="end"/>
    </w:r>
  </w:p>
  <w:p w14:paraId="08A5E400" w14:textId="77777777" w:rsidR="00F11663" w:rsidRDefault="00F11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D88D" w14:textId="77777777" w:rsidR="006608B3" w:rsidRDefault="006608B3">
    <w:pPr>
      <w:pStyle w:val="Header"/>
      <w:jc w:val="center"/>
    </w:pPr>
  </w:p>
  <w:p w14:paraId="79816FFD" w14:textId="77777777" w:rsidR="006608B3" w:rsidRDefault="00BF3B6F">
    <w:pPr>
      <w:pStyle w:val="Header"/>
    </w:pPr>
    <w:r>
      <w:rPr>
        <w:noProof/>
      </w:rPr>
      <w:pict w14:anchorId="3D438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73265" o:spid="_x0000_s1025" type="#_x0000_t136" alt="" style="position:absolute;margin-left:0;margin-top:0;width:772.5pt;height:1in;rotation:315;z-index:-251657728;mso-wrap-edited:f;mso-width-percent:0;mso-height-percent:0;mso-position-horizontal:center;mso-position-horizontal-relative:margin;mso-position-vertical:center;mso-position-vertical-relative:margin;mso-width-percent:0;mso-height-percent:0" o:allowincell="f" fillcolor="gray [1629]" stroked="f">
          <v:fill opacity=".5"/>
          <v:textpath style="font-family:&quot;Arial&quot;;font-size:64pt" string="LABOUR APPEAL COU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02BE9"/>
    <w:multiLevelType w:val="hybridMultilevel"/>
    <w:tmpl w:val="FFFFFFFF"/>
    <w:lvl w:ilvl="0" w:tplc="C4801A2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32E654D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461D13BD"/>
    <w:multiLevelType w:val="multilevel"/>
    <w:tmpl w:val="FFFFFFFF"/>
    <w:lvl w:ilvl="0">
      <w:start w:val="1"/>
      <w:numFmt w:val="decimal"/>
      <w:pStyle w:val="JUGMENTNUMBERED"/>
      <w:lvlText w:val="[%1]"/>
      <w:lvlJc w:val="left"/>
      <w:pPr>
        <w:tabs>
          <w:tab w:val="num" w:pos="680"/>
        </w:tabs>
      </w:pPr>
      <w:rPr>
        <w:rFonts w:cs="Times New Roman" w:hint="default"/>
        <w:b w:val="0"/>
        <w:bCs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58131509"/>
    <w:multiLevelType w:val="hybridMultilevel"/>
    <w:tmpl w:val="FFFFFFFF"/>
    <w:lvl w:ilvl="0" w:tplc="2514DCD2">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E2F79AA"/>
    <w:multiLevelType w:val="multilevel"/>
    <w:tmpl w:val="FFFFFFFF"/>
    <w:lvl w:ilvl="0">
      <w:start w:val="1"/>
      <w:numFmt w:val="decimal"/>
      <w:pStyle w:val="Judgementnumbering"/>
      <w:lvlText w:val="[%1]"/>
      <w:lvlJc w:val="left"/>
      <w:pPr>
        <w:ind w:left="567" w:hanging="567"/>
      </w:pPr>
      <w:rPr>
        <w:rFonts w:cs="Times New Roman" w:hint="default"/>
      </w:rPr>
    </w:lvl>
    <w:lvl w:ilvl="1">
      <w:start w:val="1"/>
      <w:numFmt w:val="decimal"/>
      <w:pStyle w:val="listing-level2"/>
      <w:lvlText w:val="%1.%2"/>
      <w:lvlJc w:val="left"/>
      <w:pPr>
        <w:ind w:left="1134" w:hanging="567"/>
      </w:pPr>
      <w:rPr>
        <w:rFonts w:cs="Times New Roman" w:hint="default"/>
      </w:rPr>
    </w:lvl>
    <w:lvl w:ilvl="2">
      <w:start w:val="1"/>
      <w:numFmt w:val="decimal"/>
      <w:pStyle w:val="listing-level3"/>
      <w:lvlText w:val="%1.%2.%3"/>
      <w:lvlJc w:val="left"/>
      <w:pPr>
        <w:ind w:left="1985" w:hanging="851"/>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648626080">
    <w:abstractNumId w:val="2"/>
  </w:num>
  <w:num w:numId="2" w16cid:durableId="1653293073">
    <w:abstractNumId w:val="4"/>
  </w:num>
  <w:num w:numId="3" w16cid:durableId="36781430">
    <w:abstractNumId w:val="0"/>
  </w:num>
  <w:num w:numId="4" w16cid:durableId="227695293">
    <w:abstractNumId w:val="1"/>
  </w:num>
  <w:num w:numId="5" w16cid:durableId="160526579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2A6E0A4-D6DA-4CA8-99BC-2AFC1CDCD0A8}"/>
    <w:docVar w:name="dgnword-eventsink" w:val="1772250876080"/>
  </w:docVars>
  <w:rsids>
    <w:rsidRoot w:val="008066CF"/>
    <w:rsid w:val="00001094"/>
    <w:rsid w:val="00005527"/>
    <w:rsid w:val="00006F0A"/>
    <w:rsid w:val="0000750B"/>
    <w:rsid w:val="00010E08"/>
    <w:rsid w:val="000115E0"/>
    <w:rsid w:val="00015476"/>
    <w:rsid w:val="00015BB9"/>
    <w:rsid w:val="00023030"/>
    <w:rsid w:val="00027713"/>
    <w:rsid w:val="0003323A"/>
    <w:rsid w:val="0003778F"/>
    <w:rsid w:val="00044113"/>
    <w:rsid w:val="00044E7D"/>
    <w:rsid w:val="00046935"/>
    <w:rsid w:val="00050051"/>
    <w:rsid w:val="0005638F"/>
    <w:rsid w:val="000571EB"/>
    <w:rsid w:val="00061AEA"/>
    <w:rsid w:val="0006222C"/>
    <w:rsid w:val="00063247"/>
    <w:rsid w:val="000638A2"/>
    <w:rsid w:val="00063BEF"/>
    <w:rsid w:val="00064D6D"/>
    <w:rsid w:val="00071CF6"/>
    <w:rsid w:val="00071FAC"/>
    <w:rsid w:val="00073280"/>
    <w:rsid w:val="00074EBF"/>
    <w:rsid w:val="00075473"/>
    <w:rsid w:val="000801FE"/>
    <w:rsid w:val="0008496D"/>
    <w:rsid w:val="000863CF"/>
    <w:rsid w:val="00086FEA"/>
    <w:rsid w:val="000A0E7F"/>
    <w:rsid w:val="000A3280"/>
    <w:rsid w:val="000A6F71"/>
    <w:rsid w:val="000A71D0"/>
    <w:rsid w:val="000B06A0"/>
    <w:rsid w:val="000B1A69"/>
    <w:rsid w:val="000B3993"/>
    <w:rsid w:val="000C1A9F"/>
    <w:rsid w:val="000C4EC6"/>
    <w:rsid w:val="000C76B8"/>
    <w:rsid w:val="000D0645"/>
    <w:rsid w:val="000D2EF3"/>
    <w:rsid w:val="000D3609"/>
    <w:rsid w:val="000D3D44"/>
    <w:rsid w:val="000D6CE3"/>
    <w:rsid w:val="000E48E7"/>
    <w:rsid w:val="000E7433"/>
    <w:rsid w:val="000F0794"/>
    <w:rsid w:val="000F1326"/>
    <w:rsid w:val="000F2E60"/>
    <w:rsid w:val="000F3EA9"/>
    <w:rsid w:val="000F5CD4"/>
    <w:rsid w:val="00105060"/>
    <w:rsid w:val="00105BB0"/>
    <w:rsid w:val="0010780E"/>
    <w:rsid w:val="0011255B"/>
    <w:rsid w:val="0011437D"/>
    <w:rsid w:val="00116697"/>
    <w:rsid w:val="001204B9"/>
    <w:rsid w:val="001238E5"/>
    <w:rsid w:val="00125D82"/>
    <w:rsid w:val="00132AD9"/>
    <w:rsid w:val="00133B2A"/>
    <w:rsid w:val="00140D2C"/>
    <w:rsid w:val="00146FA6"/>
    <w:rsid w:val="001477E3"/>
    <w:rsid w:val="00151633"/>
    <w:rsid w:val="0015402C"/>
    <w:rsid w:val="0015556F"/>
    <w:rsid w:val="00155C48"/>
    <w:rsid w:val="00156AEF"/>
    <w:rsid w:val="001600A2"/>
    <w:rsid w:val="0016183F"/>
    <w:rsid w:val="001626A5"/>
    <w:rsid w:val="00162AF3"/>
    <w:rsid w:val="00164635"/>
    <w:rsid w:val="00166197"/>
    <w:rsid w:val="001665A7"/>
    <w:rsid w:val="00167144"/>
    <w:rsid w:val="001675DF"/>
    <w:rsid w:val="00167892"/>
    <w:rsid w:val="00172977"/>
    <w:rsid w:val="00175C41"/>
    <w:rsid w:val="001854E6"/>
    <w:rsid w:val="00185FF0"/>
    <w:rsid w:val="00190F5D"/>
    <w:rsid w:val="00193B03"/>
    <w:rsid w:val="00193F14"/>
    <w:rsid w:val="00195EC0"/>
    <w:rsid w:val="001A044F"/>
    <w:rsid w:val="001A3CBC"/>
    <w:rsid w:val="001A6111"/>
    <w:rsid w:val="001A6F44"/>
    <w:rsid w:val="001B4797"/>
    <w:rsid w:val="001B796E"/>
    <w:rsid w:val="001C0A20"/>
    <w:rsid w:val="001C13AF"/>
    <w:rsid w:val="001C3AF9"/>
    <w:rsid w:val="001C6102"/>
    <w:rsid w:val="001D06A9"/>
    <w:rsid w:val="001D118B"/>
    <w:rsid w:val="001D199C"/>
    <w:rsid w:val="001D40E4"/>
    <w:rsid w:val="001D67CA"/>
    <w:rsid w:val="001D6A23"/>
    <w:rsid w:val="001E6629"/>
    <w:rsid w:val="001F294A"/>
    <w:rsid w:val="001F5D04"/>
    <w:rsid w:val="001F6992"/>
    <w:rsid w:val="00200928"/>
    <w:rsid w:val="00201367"/>
    <w:rsid w:val="00207548"/>
    <w:rsid w:val="002112BE"/>
    <w:rsid w:val="00221225"/>
    <w:rsid w:val="00225173"/>
    <w:rsid w:val="00230C18"/>
    <w:rsid w:val="00233039"/>
    <w:rsid w:val="00234FA3"/>
    <w:rsid w:val="00242460"/>
    <w:rsid w:val="00242584"/>
    <w:rsid w:val="00242D0F"/>
    <w:rsid w:val="00250960"/>
    <w:rsid w:val="00250D7E"/>
    <w:rsid w:val="00251AB6"/>
    <w:rsid w:val="00251BA0"/>
    <w:rsid w:val="00253CD0"/>
    <w:rsid w:val="002611C5"/>
    <w:rsid w:val="002653B3"/>
    <w:rsid w:val="0026666D"/>
    <w:rsid w:val="00266941"/>
    <w:rsid w:val="0027127C"/>
    <w:rsid w:val="00275EB8"/>
    <w:rsid w:val="00276FA7"/>
    <w:rsid w:val="00280EC2"/>
    <w:rsid w:val="0028113C"/>
    <w:rsid w:val="00281F0A"/>
    <w:rsid w:val="00283894"/>
    <w:rsid w:val="00283F3E"/>
    <w:rsid w:val="002841E1"/>
    <w:rsid w:val="002871D0"/>
    <w:rsid w:val="0029295A"/>
    <w:rsid w:val="002A5FCF"/>
    <w:rsid w:val="002B0080"/>
    <w:rsid w:val="002B1896"/>
    <w:rsid w:val="002B1E21"/>
    <w:rsid w:val="002B41C4"/>
    <w:rsid w:val="002B60E6"/>
    <w:rsid w:val="002C0BA8"/>
    <w:rsid w:val="002C0D62"/>
    <w:rsid w:val="002C4586"/>
    <w:rsid w:val="002C6FDB"/>
    <w:rsid w:val="002D0D5C"/>
    <w:rsid w:val="002D22B2"/>
    <w:rsid w:val="002D4A10"/>
    <w:rsid w:val="002E0C84"/>
    <w:rsid w:val="002E2956"/>
    <w:rsid w:val="002E4560"/>
    <w:rsid w:val="002E520A"/>
    <w:rsid w:val="002E5A24"/>
    <w:rsid w:val="002E7E07"/>
    <w:rsid w:val="002E7EE2"/>
    <w:rsid w:val="002F0952"/>
    <w:rsid w:val="002F1661"/>
    <w:rsid w:val="002F6F36"/>
    <w:rsid w:val="0030414B"/>
    <w:rsid w:val="00305206"/>
    <w:rsid w:val="0030735B"/>
    <w:rsid w:val="00311196"/>
    <w:rsid w:val="0031168B"/>
    <w:rsid w:val="0031339F"/>
    <w:rsid w:val="00314CAC"/>
    <w:rsid w:val="00326978"/>
    <w:rsid w:val="0033022C"/>
    <w:rsid w:val="00330317"/>
    <w:rsid w:val="003349FD"/>
    <w:rsid w:val="0034062B"/>
    <w:rsid w:val="00346FFB"/>
    <w:rsid w:val="00350728"/>
    <w:rsid w:val="00351794"/>
    <w:rsid w:val="00360F3B"/>
    <w:rsid w:val="003675F3"/>
    <w:rsid w:val="00367FD3"/>
    <w:rsid w:val="00376D7C"/>
    <w:rsid w:val="003839DE"/>
    <w:rsid w:val="003971FC"/>
    <w:rsid w:val="003A03B3"/>
    <w:rsid w:val="003A1A77"/>
    <w:rsid w:val="003A335B"/>
    <w:rsid w:val="003A5B4C"/>
    <w:rsid w:val="003B2343"/>
    <w:rsid w:val="003B267F"/>
    <w:rsid w:val="003B5384"/>
    <w:rsid w:val="003B6C5B"/>
    <w:rsid w:val="003C34C8"/>
    <w:rsid w:val="003C5F8C"/>
    <w:rsid w:val="003C6BF7"/>
    <w:rsid w:val="003D1169"/>
    <w:rsid w:val="003D40FD"/>
    <w:rsid w:val="003D7D0D"/>
    <w:rsid w:val="003F2AE8"/>
    <w:rsid w:val="003F42F5"/>
    <w:rsid w:val="004126F8"/>
    <w:rsid w:val="0041494D"/>
    <w:rsid w:val="00420758"/>
    <w:rsid w:val="0042386A"/>
    <w:rsid w:val="0042758A"/>
    <w:rsid w:val="00427BE1"/>
    <w:rsid w:val="00432F7F"/>
    <w:rsid w:val="00432FF8"/>
    <w:rsid w:val="004331D5"/>
    <w:rsid w:val="00437510"/>
    <w:rsid w:val="00441B39"/>
    <w:rsid w:val="00442D15"/>
    <w:rsid w:val="00444372"/>
    <w:rsid w:val="00450AE6"/>
    <w:rsid w:val="00450D6A"/>
    <w:rsid w:val="004518AB"/>
    <w:rsid w:val="00451D8C"/>
    <w:rsid w:val="00453026"/>
    <w:rsid w:val="00455B09"/>
    <w:rsid w:val="00457BB5"/>
    <w:rsid w:val="00462C9D"/>
    <w:rsid w:val="0046498E"/>
    <w:rsid w:val="00465E1E"/>
    <w:rsid w:val="004717CE"/>
    <w:rsid w:val="00472F1F"/>
    <w:rsid w:val="00473FF5"/>
    <w:rsid w:val="00477315"/>
    <w:rsid w:val="0047777A"/>
    <w:rsid w:val="00481A22"/>
    <w:rsid w:val="00485954"/>
    <w:rsid w:val="004B53B3"/>
    <w:rsid w:val="004B6BB8"/>
    <w:rsid w:val="004C0908"/>
    <w:rsid w:val="004C79CC"/>
    <w:rsid w:val="004D0EDB"/>
    <w:rsid w:val="004D3ACE"/>
    <w:rsid w:val="004D3BDC"/>
    <w:rsid w:val="004E1F0B"/>
    <w:rsid w:val="004F2825"/>
    <w:rsid w:val="004F72BC"/>
    <w:rsid w:val="005012E7"/>
    <w:rsid w:val="00501D71"/>
    <w:rsid w:val="00501E4A"/>
    <w:rsid w:val="005049AD"/>
    <w:rsid w:val="00506959"/>
    <w:rsid w:val="00506CFD"/>
    <w:rsid w:val="00520A73"/>
    <w:rsid w:val="00520DA8"/>
    <w:rsid w:val="005246FD"/>
    <w:rsid w:val="00524C35"/>
    <w:rsid w:val="00525538"/>
    <w:rsid w:val="00525B2F"/>
    <w:rsid w:val="00527344"/>
    <w:rsid w:val="00527F92"/>
    <w:rsid w:val="00532CE5"/>
    <w:rsid w:val="005344C5"/>
    <w:rsid w:val="00534EC7"/>
    <w:rsid w:val="00540891"/>
    <w:rsid w:val="005443AC"/>
    <w:rsid w:val="00546759"/>
    <w:rsid w:val="00547523"/>
    <w:rsid w:val="00550930"/>
    <w:rsid w:val="00550B49"/>
    <w:rsid w:val="00554591"/>
    <w:rsid w:val="0056152F"/>
    <w:rsid w:val="00561E1B"/>
    <w:rsid w:val="005644A3"/>
    <w:rsid w:val="005644AD"/>
    <w:rsid w:val="00567FD5"/>
    <w:rsid w:val="005729C4"/>
    <w:rsid w:val="0058022B"/>
    <w:rsid w:val="00581DD8"/>
    <w:rsid w:val="00587643"/>
    <w:rsid w:val="005910ED"/>
    <w:rsid w:val="00592547"/>
    <w:rsid w:val="00592EDE"/>
    <w:rsid w:val="00595C58"/>
    <w:rsid w:val="005A6BD8"/>
    <w:rsid w:val="005C0964"/>
    <w:rsid w:val="005C12DA"/>
    <w:rsid w:val="005C59F4"/>
    <w:rsid w:val="005C5B08"/>
    <w:rsid w:val="005D110F"/>
    <w:rsid w:val="005D1279"/>
    <w:rsid w:val="005D1336"/>
    <w:rsid w:val="005E1C59"/>
    <w:rsid w:val="005E3A60"/>
    <w:rsid w:val="005E6457"/>
    <w:rsid w:val="005E7C80"/>
    <w:rsid w:val="005F3A15"/>
    <w:rsid w:val="005F6D7B"/>
    <w:rsid w:val="0060042D"/>
    <w:rsid w:val="00602FB7"/>
    <w:rsid w:val="00607224"/>
    <w:rsid w:val="00612421"/>
    <w:rsid w:val="006144D2"/>
    <w:rsid w:val="00616380"/>
    <w:rsid w:val="00616F73"/>
    <w:rsid w:val="00620CFA"/>
    <w:rsid w:val="00624CDA"/>
    <w:rsid w:val="006254E2"/>
    <w:rsid w:val="00630621"/>
    <w:rsid w:val="00637FF0"/>
    <w:rsid w:val="006442C2"/>
    <w:rsid w:val="00644990"/>
    <w:rsid w:val="0065123A"/>
    <w:rsid w:val="00651351"/>
    <w:rsid w:val="006564A5"/>
    <w:rsid w:val="006574C6"/>
    <w:rsid w:val="006608B3"/>
    <w:rsid w:val="00661AED"/>
    <w:rsid w:val="00675EFA"/>
    <w:rsid w:val="00680412"/>
    <w:rsid w:val="00681D70"/>
    <w:rsid w:val="006822C9"/>
    <w:rsid w:val="006935CE"/>
    <w:rsid w:val="006952AE"/>
    <w:rsid w:val="006A01C7"/>
    <w:rsid w:val="006A1132"/>
    <w:rsid w:val="006A25C4"/>
    <w:rsid w:val="006A2D4D"/>
    <w:rsid w:val="006A2F18"/>
    <w:rsid w:val="006A314E"/>
    <w:rsid w:val="006A68AE"/>
    <w:rsid w:val="006A6D07"/>
    <w:rsid w:val="006B5135"/>
    <w:rsid w:val="006B57E5"/>
    <w:rsid w:val="006B5BE1"/>
    <w:rsid w:val="006C0B61"/>
    <w:rsid w:val="006C4508"/>
    <w:rsid w:val="006C478E"/>
    <w:rsid w:val="006C5F98"/>
    <w:rsid w:val="006D040A"/>
    <w:rsid w:val="006D0814"/>
    <w:rsid w:val="006D1DFF"/>
    <w:rsid w:val="006D309E"/>
    <w:rsid w:val="006D4A86"/>
    <w:rsid w:val="006D5EA0"/>
    <w:rsid w:val="006D6F17"/>
    <w:rsid w:val="006E312B"/>
    <w:rsid w:val="006E5593"/>
    <w:rsid w:val="006E64CB"/>
    <w:rsid w:val="006F156D"/>
    <w:rsid w:val="006F187D"/>
    <w:rsid w:val="006F4CF5"/>
    <w:rsid w:val="00702B56"/>
    <w:rsid w:val="00703299"/>
    <w:rsid w:val="007035A1"/>
    <w:rsid w:val="00703C28"/>
    <w:rsid w:val="007047C0"/>
    <w:rsid w:val="00705D77"/>
    <w:rsid w:val="00706E64"/>
    <w:rsid w:val="00711516"/>
    <w:rsid w:val="00711697"/>
    <w:rsid w:val="00711F3C"/>
    <w:rsid w:val="007155F3"/>
    <w:rsid w:val="00720407"/>
    <w:rsid w:val="007229AB"/>
    <w:rsid w:val="00731772"/>
    <w:rsid w:val="0073227A"/>
    <w:rsid w:val="007449BC"/>
    <w:rsid w:val="00744A64"/>
    <w:rsid w:val="00745405"/>
    <w:rsid w:val="007511FD"/>
    <w:rsid w:val="007521A1"/>
    <w:rsid w:val="00753816"/>
    <w:rsid w:val="00762FC3"/>
    <w:rsid w:val="0076508B"/>
    <w:rsid w:val="00766E34"/>
    <w:rsid w:val="00767B64"/>
    <w:rsid w:val="0077071A"/>
    <w:rsid w:val="00770C17"/>
    <w:rsid w:val="007752B7"/>
    <w:rsid w:val="00775D49"/>
    <w:rsid w:val="00777824"/>
    <w:rsid w:val="00781D51"/>
    <w:rsid w:val="007857B7"/>
    <w:rsid w:val="00785E1F"/>
    <w:rsid w:val="00790F9B"/>
    <w:rsid w:val="007A6935"/>
    <w:rsid w:val="007B1AB2"/>
    <w:rsid w:val="007B2447"/>
    <w:rsid w:val="007B45D9"/>
    <w:rsid w:val="007B6026"/>
    <w:rsid w:val="007B75B6"/>
    <w:rsid w:val="007B7815"/>
    <w:rsid w:val="007D1245"/>
    <w:rsid w:val="007D2E97"/>
    <w:rsid w:val="007E13C1"/>
    <w:rsid w:val="007F24E0"/>
    <w:rsid w:val="007F6EAF"/>
    <w:rsid w:val="008052B8"/>
    <w:rsid w:val="00806487"/>
    <w:rsid w:val="008066CF"/>
    <w:rsid w:val="00812781"/>
    <w:rsid w:val="00814A7A"/>
    <w:rsid w:val="00817002"/>
    <w:rsid w:val="008203AE"/>
    <w:rsid w:val="008206BD"/>
    <w:rsid w:val="00825C20"/>
    <w:rsid w:val="0082711B"/>
    <w:rsid w:val="0083681F"/>
    <w:rsid w:val="008416A9"/>
    <w:rsid w:val="0084476C"/>
    <w:rsid w:val="008448F4"/>
    <w:rsid w:val="00846C71"/>
    <w:rsid w:val="00847090"/>
    <w:rsid w:val="008511A7"/>
    <w:rsid w:val="0085759F"/>
    <w:rsid w:val="00861C3F"/>
    <w:rsid w:val="00865090"/>
    <w:rsid w:val="00865B44"/>
    <w:rsid w:val="00866F63"/>
    <w:rsid w:val="00871C30"/>
    <w:rsid w:val="00871CB9"/>
    <w:rsid w:val="00871FC7"/>
    <w:rsid w:val="0087284F"/>
    <w:rsid w:val="00874BE9"/>
    <w:rsid w:val="00876314"/>
    <w:rsid w:val="00877D8D"/>
    <w:rsid w:val="00881BDC"/>
    <w:rsid w:val="00885A57"/>
    <w:rsid w:val="00886D05"/>
    <w:rsid w:val="00887AE1"/>
    <w:rsid w:val="00887BBE"/>
    <w:rsid w:val="00890005"/>
    <w:rsid w:val="00897673"/>
    <w:rsid w:val="008A35A5"/>
    <w:rsid w:val="008A3858"/>
    <w:rsid w:val="008A7026"/>
    <w:rsid w:val="008B4D5C"/>
    <w:rsid w:val="008B72B3"/>
    <w:rsid w:val="008C4D39"/>
    <w:rsid w:val="008C5BC8"/>
    <w:rsid w:val="008C6124"/>
    <w:rsid w:val="008D0968"/>
    <w:rsid w:val="008D1539"/>
    <w:rsid w:val="008D1E32"/>
    <w:rsid w:val="008D2AB7"/>
    <w:rsid w:val="008D330A"/>
    <w:rsid w:val="008D363A"/>
    <w:rsid w:val="008D41ED"/>
    <w:rsid w:val="008E0B3A"/>
    <w:rsid w:val="008E1B74"/>
    <w:rsid w:val="008E2FA1"/>
    <w:rsid w:val="008E3242"/>
    <w:rsid w:val="008E4BE4"/>
    <w:rsid w:val="008E6232"/>
    <w:rsid w:val="008E69C5"/>
    <w:rsid w:val="008E7A79"/>
    <w:rsid w:val="008F6489"/>
    <w:rsid w:val="008F6E2C"/>
    <w:rsid w:val="009036E6"/>
    <w:rsid w:val="009037AF"/>
    <w:rsid w:val="009042D5"/>
    <w:rsid w:val="0090536D"/>
    <w:rsid w:val="00906F62"/>
    <w:rsid w:val="009117D7"/>
    <w:rsid w:val="009141E0"/>
    <w:rsid w:val="0092005B"/>
    <w:rsid w:val="00925178"/>
    <w:rsid w:val="009262C4"/>
    <w:rsid w:val="00927898"/>
    <w:rsid w:val="0093117F"/>
    <w:rsid w:val="00934A98"/>
    <w:rsid w:val="00935287"/>
    <w:rsid w:val="00940CDE"/>
    <w:rsid w:val="00941C4D"/>
    <w:rsid w:val="00945664"/>
    <w:rsid w:val="009472BB"/>
    <w:rsid w:val="009537C4"/>
    <w:rsid w:val="009565D3"/>
    <w:rsid w:val="0095676E"/>
    <w:rsid w:val="00957944"/>
    <w:rsid w:val="00960DE3"/>
    <w:rsid w:val="00963FE4"/>
    <w:rsid w:val="009743CB"/>
    <w:rsid w:val="00974B84"/>
    <w:rsid w:val="00976217"/>
    <w:rsid w:val="00980183"/>
    <w:rsid w:val="00981A7C"/>
    <w:rsid w:val="00992726"/>
    <w:rsid w:val="009934CD"/>
    <w:rsid w:val="00994C30"/>
    <w:rsid w:val="009A3C4D"/>
    <w:rsid w:val="009A4598"/>
    <w:rsid w:val="009A641B"/>
    <w:rsid w:val="009B26AC"/>
    <w:rsid w:val="009B294D"/>
    <w:rsid w:val="009B5990"/>
    <w:rsid w:val="009C2A76"/>
    <w:rsid w:val="009C2E2E"/>
    <w:rsid w:val="009C5168"/>
    <w:rsid w:val="009C716C"/>
    <w:rsid w:val="009C72BE"/>
    <w:rsid w:val="009D1653"/>
    <w:rsid w:val="009D6CDE"/>
    <w:rsid w:val="009E78FE"/>
    <w:rsid w:val="009F38DC"/>
    <w:rsid w:val="00A03F5A"/>
    <w:rsid w:val="00A040F5"/>
    <w:rsid w:val="00A106B6"/>
    <w:rsid w:val="00A10905"/>
    <w:rsid w:val="00A126A8"/>
    <w:rsid w:val="00A145ED"/>
    <w:rsid w:val="00A17306"/>
    <w:rsid w:val="00A20934"/>
    <w:rsid w:val="00A23905"/>
    <w:rsid w:val="00A27733"/>
    <w:rsid w:val="00A32DE8"/>
    <w:rsid w:val="00A34483"/>
    <w:rsid w:val="00A3503B"/>
    <w:rsid w:val="00A35392"/>
    <w:rsid w:val="00A362A1"/>
    <w:rsid w:val="00A36E8B"/>
    <w:rsid w:val="00A428EF"/>
    <w:rsid w:val="00A46801"/>
    <w:rsid w:val="00A4704A"/>
    <w:rsid w:val="00A47120"/>
    <w:rsid w:val="00A475D0"/>
    <w:rsid w:val="00A56295"/>
    <w:rsid w:val="00A6243E"/>
    <w:rsid w:val="00A6555B"/>
    <w:rsid w:val="00A67BAB"/>
    <w:rsid w:val="00A71C85"/>
    <w:rsid w:val="00A71DB1"/>
    <w:rsid w:val="00A75413"/>
    <w:rsid w:val="00A76DBC"/>
    <w:rsid w:val="00A76F0B"/>
    <w:rsid w:val="00A8025B"/>
    <w:rsid w:val="00A84869"/>
    <w:rsid w:val="00A84D39"/>
    <w:rsid w:val="00A84DF6"/>
    <w:rsid w:val="00A9051A"/>
    <w:rsid w:val="00A90922"/>
    <w:rsid w:val="00A94AEC"/>
    <w:rsid w:val="00AA2573"/>
    <w:rsid w:val="00AA3D3F"/>
    <w:rsid w:val="00AA513A"/>
    <w:rsid w:val="00AA68EE"/>
    <w:rsid w:val="00AA71EF"/>
    <w:rsid w:val="00AB0CCF"/>
    <w:rsid w:val="00AB2A1B"/>
    <w:rsid w:val="00AC1E36"/>
    <w:rsid w:val="00AC4BB9"/>
    <w:rsid w:val="00AD386F"/>
    <w:rsid w:val="00AD44ED"/>
    <w:rsid w:val="00AD4B81"/>
    <w:rsid w:val="00AD628C"/>
    <w:rsid w:val="00AD679D"/>
    <w:rsid w:val="00AD7E5A"/>
    <w:rsid w:val="00AE1441"/>
    <w:rsid w:val="00AE2FF9"/>
    <w:rsid w:val="00AE309E"/>
    <w:rsid w:val="00AE6026"/>
    <w:rsid w:val="00AE6135"/>
    <w:rsid w:val="00AE7831"/>
    <w:rsid w:val="00AF0E26"/>
    <w:rsid w:val="00B02906"/>
    <w:rsid w:val="00B049A6"/>
    <w:rsid w:val="00B07FA4"/>
    <w:rsid w:val="00B10236"/>
    <w:rsid w:val="00B10E8C"/>
    <w:rsid w:val="00B11335"/>
    <w:rsid w:val="00B12808"/>
    <w:rsid w:val="00B15A88"/>
    <w:rsid w:val="00B214BB"/>
    <w:rsid w:val="00B224D1"/>
    <w:rsid w:val="00B22855"/>
    <w:rsid w:val="00B24147"/>
    <w:rsid w:val="00B267E7"/>
    <w:rsid w:val="00B275E2"/>
    <w:rsid w:val="00B36080"/>
    <w:rsid w:val="00B37C82"/>
    <w:rsid w:val="00B44032"/>
    <w:rsid w:val="00B45105"/>
    <w:rsid w:val="00B50AFD"/>
    <w:rsid w:val="00B51185"/>
    <w:rsid w:val="00B55CE6"/>
    <w:rsid w:val="00B630B7"/>
    <w:rsid w:val="00B70AE2"/>
    <w:rsid w:val="00B73D37"/>
    <w:rsid w:val="00B76161"/>
    <w:rsid w:val="00B801AC"/>
    <w:rsid w:val="00B872A9"/>
    <w:rsid w:val="00B94538"/>
    <w:rsid w:val="00B94A81"/>
    <w:rsid w:val="00B97592"/>
    <w:rsid w:val="00BA02D6"/>
    <w:rsid w:val="00BA0C26"/>
    <w:rsid w:val="00BA2E5B"/>
    <w:rsid w:val="00BA71C4"/>
    <w:rsid w:val="00BA7CD1"/>
    <w:rsid w:val="00BB4B92"/>
    <w:rsid w:val="00BB5AB6"/>
    <w:rsid w:val="00BB7F6A"/>
    <w:rsid w:val="00BC0068"/>
    <w:rsid w:val="00BC2D14"/>
    <w:rsid w:val="00BC3C07"/>
    <w:rsid w:val="00BC577E"/>
    <w:rsid w:val="00BC74FE"/>
    <w:rsid w:val="00BD0351"/>
    <w:rsid w:val="00BD333E"/>
    <w:rsid w:val="00BD6D16"/>
    <w:rsid w:val="00BE1606"/>
    <w:rsid w:val="00BE41C9"/>
    <w:rsid w:val="00BE694C"/>
    <w:rsid w:val="00BE7372"/>
    <w:rsid w:val="00BE76AC"/>
    <w:rsid w:val="00BF3B6F"/>
    <w:rsid w:val="00BF5B23"/>
    <w:rsid w:val="00C028C0"/>
    <w:rsid w:val="00C03430"/>
    <w:rsid w:val="00C04D11"/>
    <w:rsid w:val="00C11801"/>
    <w:rsid w:val="00C139FA"/>
    <w:rsid w:val="00C17C52"/>
    <w:rsid w:val="00C20262"/>
    <w:rsid w:val="00C23015"/>
    <w:rsid w:val="00C245E5"/>
    <w:rsid w:val="00C26A9A"/>
    <w:rsid w:val="00C2761B"/>
    <w:rsid w:val="00C33E13"/>
    <w:rsid w:val="00C34BA7"/>
    <w:rsid w:val="00C34DEF"/>
    <w:rsid w:val="00C354ED"/>
    <w:rsid w:val="00C35A6D"/>
    <w:rsid w:val="00C3689C"/>
    <w:rsid w:val="00C5038A"/>
    <w:rsid w:val="00C54155"/>
    <w:rsid w:val="00C54C1E"/>
    <w:rsid w:val="00C5616F"/>
    <w:rsid w:val="00C612AE"/>
    <w:rsid w:val="00C61E8C"/>
    <w:rsid w:val="00C670DE"/>
    <w:rsid w:val="00C679FB"/>
    <w:rsid w:val="00C7077D"/>
    <w:rsid w:val="00C71A6E"/>
    <w:rsid w:val="00C834E8"/>
    <w:rsid w:val="00C84061"/>
    <w:rsid w:val="00C85A8C"/>
    <w:rsid w:val="00C879AE"/>
    <w:rsid w:val="00C90E91"/>
    <w:rsid w:val="00C92CB8"/>
    <w:rsid w:val="00C9664A"/>
    <w:rsid w:val="00CA36BE"/>
    <w:rsid w:val="00CA71A6"/>
    <w:rsid w:val="00CA74F7"/>
    <w:rsid w:val="00CB2727"/>
    <w:rsid w:val="00CC1110"/>
    <w:rsid w:val="00CC2E2E"/>
    <w:rsid w:val="00CD0C78"/>
    <w:rsid w:val="00CD18D8"/>
    <w:rsid w:val="00CD2A40"/>
    <w:rsid w:val="00CD4F69"/>
    <w:rsid w:val="00CD69BA"/>
    <w:rsid w:val="00CE0014"/>
    <w:rsid w:val="00CE0297"/>
    <w:rsid w:val="00CE04D8"/>
    <w:rsid w:val="00CE0809"/>
    <w:rsid w:val="00CE2372"/>
    <w:rsid w:val="00CE651B"/>
    <w:rsid w:val="00CE6F11"/>
    <w:rsid w:val="00CF092E"/>
    <w:rsid w:val="00CF183A"/>
    <w:rsid w:val="00CF2C9F"/>
    <w:rsid w:val="00CF3313"/>
    <w:rsid w:val="00CF4D5F"/>
    <w:rsid w:val="00CF6518"/>
    <w:rsid w:val="00CF6D5C"/>
    <w:rsid w:val="00CF7049"/>
    <w:rsid w:val="00CF7970"/>
    <w:rsid w:val="00CF7E10"/>
    <w:rsid w:val="00D015AB"/>
    <w:rsid w:val="00D01E9E"/>
    <w:rsid w:val="00D033C4"/>
    <w:rsid w:val="00D03C14"/>
    <w:rsid w:val="00D04803"/>
    <w:rsid w:val="00D13BF6"/>
    <w:rsid w:val="00D2225E"/>
    <w:rsid w:val="00D223F3"/>
    <w:rsid w:val="00D23124"/>
    <w:rsid w:val="00D31605"/>
    <w:rsid w:val="00D31921"/>
    <w:rsid w:val="00D36B6B"/>
    <w:rsid w:val="00D37513"/>
    <w:rsid w:val="00D4350B"/>
    <w:rsid w:val="00D4633E"/>
    <w:rsid w:val="00D46433"/>
    <w:rsid w:val="00D46CAD"/>
    <w:rsid w:val="00D53464"/>
    <w:rsid w:val="00D54743"/>
    <w:rsid w:val="00D61176"/>
    <w:rsid w:val="00D62EF6"/>
    <w:rsid w:val="00D634FB"/>
    <w:rsid w:val="00D65141"/>
    <w:rsid w:val="00D70024"/>
    <w:rsid w:val="00D73FF4"/>
    <w:rsid w:val="00D76B66"/>
    <w:rsid w:val="00D76E39"/>
    <w:rsid w:val="00D82FDB"/>
    <w:rsid w:val="00D85D86"/>
    <w:rsid w:val="00D87039"/>
    <w:rsid w:val="00D91447"/>
    <w:rsid w:val="00DA2BBD"/>
    <w:rsid w:val="00DA4968"/>
    <w:rsid w:val="00DB2AD8"/>
    <w:rsid w:val="00DB2F69"/>
    <w:rsid w:val="00DB3F9E"/>
    <w:rsid w:val="00DB571A"/>
    <w:rsid w:val="00DC4A5A"/>
    <w:rsid w:val="00DC617E"/>
    <w:rsid w:val="00DC7D67"/>
    <w:rsid w:val="00DD0860"/>
    <w:rsid w:val="00DD1B9F"/>
    <w:rsid w:val="00DD2399"/>
    <w:rsid w:val="00DD3E85"/>
    <w:rsid w:val="00DD47D4"/>
    <w:rsid w:val="00DD62D1"/>
    <w:rsid w:val="00DE21BC"/>
    <w:rsid w:val="00DE224A"/>
    <w:rsid w:val="00DE2A50"/>
    <w:rsid w:val="00DE2B12"/>
    <w:rsid w:val="00DE554B"/>
    <w:rsid w:val="00DE6528"/>
    <w:rsid w:val="00DF21DA"/>
    <w:rsid w:val="00DF3DAD"/>
    <w:rsid w:val="00E12190"/>
    <w:rsid w:val="00E1347A"/>
    <w:rsid w:val="00E15B4A"/>
    <w:rsid w:val="00E25004"/>
    <w:rsid w:val="00E26574"/>
    <w:rsid w:val="00E31E7C"/>
    <w:rsid w:val="00E3518E"/>
    <w:rsid w:val="00E3575B"/>
    <w:rsid w:val="00E36469"/>
    <w:rsid w:val="00E37403"/>
    <w:rsid w:val="00E41D1D"/>
    <w:rsid w:val="00E428B5"/>
    <w:rsid w:val="00E428CC"/>
    <w:rsid w:val="00E43CE1"/>
    <w:rsid w:val="00E44E46"/>
    <w:rsid w:val="00E47EA6"/>
    <w:rsid w:val="00E511D4"/>
    <w:rsid w:val="00E53B70"/>
    <w:rsid w:val="00E56592"/>
    <w:rsid w:val="00E61A57"/>
    <w:rsid w:val="00E63317"/>
    <w:rsid w:val="00E64D79"/>
    <w:rsid w:val="00E675FD"/>
    <w:rsid w:val="00E676F0"/>
    <w:rsid w:val="00E7037D"/>
    <w:rsid w:val="00E72DE7"/>
    <w:rsid w:val="00E73A2A"/>
    <w:rsid w:val="00E74DD6"/>
    <w:rsid w:val="00E767D0"/>
    <w:rsid w:val="00E7782F"/>
    <w:rsid w:val="00E80151"/>
    <w:rsid w:val="00E80FE7"/>
    <w:rsid w:val="00E81ACA"/>
    <w:rsid w:val="00E83225"/>
    <w:rsid w:val="00E83ED6"/>
    <w:rsid w:val="00E8403E"/>
    <w:rsid w:val="00E87268"/>
    <w:rsid w:val="00E878B0"/>
    <w:rsid w:val="00E90A7D"/>
    <w:rsid w:val="00E912CD"/>
    <w:rsid w:val="00E928A5"/>
    <w:rsid w:val="00E92BE6"/>
    <w:rsid w:val="00E939ED"/>
    <w:rsid w:val="00E947D0"/>
    <w:rsid w:val="00EA5BAE"/>
    <w:rsid w:val="00EB07A2"/>
    <w:rsid w:val="00EB67EC"/>
    <w:rsid w:val="00EB7FCC"/>
    <w:rsid w:val="00EC1F4F"/>
    <w:rsid w:val="00EC48FA"/>
    <w:rsid w:val="00EC5807"/>
    <w:rsid w:val="00EC5A82"/>
    <w:rsid w:val="00EC5E5E"/>
    <w:rsid w:val="00EC6339"/>
    <w:rsid w:val="00EC6374"/>
    <w:rsid w:val="00ED06D1"/>
    <w:rsid w:val="00ED2736"/>
    <w:rsid w:val="00ED3912"/>
    <w:rsid w:val="00ED6BDB"/>
    <w:rsid w:val="00ED7391"/>
    <w:rsid w:val="00EE21E3"/>
    <w:rsid w:val="00EF125C"/>
    <w:rsid w:val="00EF3B2E"/>
    <w:rsid w:val="00F0055C"/>
    <w:rsid w:val="00F04C09"/>
    <w:rsid w:val="00F06352"/>
    <w:rsid w:val="00F11663"/>
    <w:rsid w:val="00F122D2"/>
    <w:rsid w:val="00F12368"/>
    <w:rsid w:val="00F1539C"/>
    <w:rsid w:val="00F20DCD"/>
    <w:rsid w:val="00F21237"/>
    <w:rsid w:val="00F21F55"/>
    <w:rsid w:val="00F220E8"/>
    <w:rsid w:val="00F24EDC"/>
    <w:rsid w:val="00F26F32"/>
    <w:rsid w:val="00F32CF0"/>
    <w:rsid w:val="00F41B02"/>
    <w:rsid w:val="00F420E9"/>
    <w:rsid w:val="00F43F13"/>
    <w:rsid w:val="00F44AB1"/>
    <w:rsid w:val="00F46D2E"/>
    <w:rsid w:val="00F47634"/>
    <w:rsid w:val="00F50F4E"/>
    <w:rsid w:val="00F551F7"/>
    <w:rsid w:val="00F61990"/>
    <w:rsid w:val="00F6210A"/>
    <w:rsid w:val="00F65B0D"/>
    <w:rsid w:val="00F71E1F"/>
    <w:rsid w:val="00F722A1"/>
    <w:rsid w:val="00F74E28"/>
    <w:rsid w:val="00F8342B"/>
    <w:rsid w:val="00F8347C"/>
    <w:rsid w:val="00F83AA9"/>
    <w:rsid w:val="00F84323"/>
    <w:rsid w:val="00F869DB"/>
    <w:rsid w:val="00F91F0E"/>
    <w:rsid w:val="00F92C3E"/>
    <w:rsid w:val="00F92F0E"/>
    <w:rsid w:val="00F93169"/>
    <w:rsid w:val="00F95ADF"/>
    <w:rsid w:val="00FA09C4"/>
    <w:rsid w:val="00FA1CF0"/>
    <w:rsid w:val="00FA2AA8"/>
    <w:rsid w:val="00FA75AE"/>
    <w:rsid w:val="00FB21C7"/>
    <w:rsid w:val="00FB46D6"/>
    <w:rsid w:val="00FC4505"/>
    <w:rsid w:val="00FC558A"/>
    <w:rsid w:val="00FD26E4"/>
    <w:rsid w:val="00FE2B8D"/>
    <w:rsid w:val="00FE56E2"/>
    <w:rsid w:val="00FE5FCC"/>
    <w:rsid w:val="00FE61A4"/>
    <w:rsid w:val="00FF28C0"/>
    <w:rsid w:val="00FF31C6"/>
    <w:rsid w:val="00FF5604"/>
    <w:rsid w:val="00FF6D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C9A28"/>
  <w14:defaultImageDpi w14:val="0"/>
  <w15:docId w15:val="{839BE29F-1261-8446-89A7-64158225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en-Z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8066C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8066C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unhideWhenUsed/>
    <w:qFormat/>
    <w:rsid w:val="008066CF"/>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8066CF"/>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8066CF"/>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8066CF"/>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8066CF"/>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8066CF"/>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8066CF"/>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6CF"/>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rsid w:val="008066CF"/>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rsid w:val="008066CF"/>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semiHidden/>
    <w:rsid w:val="008066CF"/>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semiHidden/>
    <w:rsid w:val="008066CF"/>
    <w:rPr>
      <w:rFonts w:eastAsiaTheme="majorEastAsia" w:cs="Times New Roman"/>
      <w:color w:val="0F4761" w:themeColor="accent1" w:themeShade="BF"/>
    </w:rPr>
  </w:style>
  <w:style w:type="character" w:customStyle="1" w:styleId="Heading6Char">
    <w:name w:val="Heading 6 Char"/>
    <w:basedOn w:val="DefaultParagraphFont"/>
    <w:link w:val="Heading6"/>
    <w:uiPriority w:val="9"/>
    <w:semiHidden/>
    <w:rsid w:val="008066CF"/>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rsid w:val="008066CF"/>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rsid w:val="008066CF"/>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rsid w:val="008066CF"/>
    <w:rPr>
      <w:rFonts w:eastAsiaTheme="majorEastAsia" w:cs="Times New Roman"/>
      <w:color w:val="272727" w:themeColor="text1" w:themeTint="D8"/>
    </w:rPr>
  </w:style>
  <w:style w:type="paragraph" w:styleId="Title">
    <w:name w:val="Title"/>
    <w:basedOn w:val="Normal"/>
    <w:next w:val="Normal"/>
    <w:link w:val="TitleChar"/>
    <w:uiPriority w:val="10"/>
    <w:qFormat/>
    <w:rsid w:val="008066CF"/>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8066CF"/>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8066CF"/>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8066CF"/>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8066CF"/>
    <w:pPr>
      <w:spacing w:before="160"/>
      <w:jc w:val="center"/>
    </w:pPr>
    <w:rPr>
      <w:i/>
      <w:iCs/>
      <w:color w:val="404040" w:themeColor="text1" w:themeTint="BF"/>
    </w:rPr>
  </w:style>
  <w:style w:type="character" w:customStyle="1" w:styleId="QuoteChar">
    <w:name w:val="Quote Char"/>
    <w:basedOn w:val="DefaultParagraphFont"/>
    <w:link w:val="Quote"/>
    <w:uiPriority w:val="29"/>
    <w:rsid w:val="008066CF"/>
    <w:rPr>
      <w:rFonts w:cs="Times New Roman"/>
      <w:i/>
      <w:iCs/>
      <w:color w:val="404040" w:themeColor="text1" w:themeTint="BF"/>
    </w:rPr>
  </w:style>
  <w:style w:type="paragraph" w:styleId="ListParagraph">
    <w:name w:val="List Paragraph"/>
    <w:basedOn w:val="Normal"/>
    <w:uiPriority w:val="34"/>
    <w:qFormat/>
    <w:rsid w:val="008066CF"/>
    <w:pPr>
      <w:ind w:left="720"/>
      <w:contextualSpacing/>
    </w:pPr>
  </w:style>
  <w:style w:type="character" w:styleId="IntenseEmphasis">
    <w:name w:val="Intense Emphasis"/>
    <w:basedOn w:val="DefaultParagraphFont"/>
    <w:uiPriority w:val="21"/>
    <w:qFormat/>
    <w:rsid w:val="008066CF"/>
    <w:rPr>
      <w:rFonts w:cs="Times New Roman"/>
      <w:i/>
      <w:iCs/>
      <w:color w:val="0F4761" w:themeColor="accent1" w:themeShade="BF"/>
    </w:rPr>
  </w:style>
  <w:style w:type="paragraph" w:styleId="IntenseQuote">
    <w:name w:val="Intense Quote"/>
    <w:basedOn w:val="Normal"/>
    <w:next w:val="Normal"/>
    <w:link w:val="IntenseQuoteChar"/>
    <w:uiPriority w:val="30"/>
    <w:qFormat/>
    <w:rsid w:val="00806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6CF"/>
    <w:rPr>
      <w:rFonts w:cs="Times New Roman"/>
      <w:i/>
      <w:iCs/>
      <w:color w:val="0F4761" w:themeColor="accent1" w:themeShade="BF"/>
    </w:rPr>
  </w:style>
  <w:style w:type="character" w:styleId="IntenseReference">
    <w:name w:val="Intense Reference"/>
    <w:basedOn w:val="DefaultParagraphFont"/>
    <w:uiPriority w:val="32"/>
    <w:qFormat/>
    <w:rsid w:val="008066CF"/>
    <w:rPr>
      <w:rFonts w:cs="Times New Roman"/>
      <w:b/>
      <w:bCs/>
      <w:smallCaps/>
      <w:color w:val="0F4761" w:themeColor="accent1" w:themeShade="BF"/>
      <w:spacing w:val="5"/>
    </w:rPr>
  </w:style>
  <w:style w:type="paragraph" w:styleId="Header">
    <w:name w:val="header"/>
    <w:basedOn w:val="Normal"/>
    <w:link w:val="HeaderChar"/>
    <w:uiPriority w:val="99"/>
    <w:unhideWhenUsed/>
    <w:rsid w:val="00F11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663"/>
    <w:rPr>
      <w:rFonts w:cs="Times New Roman"/>
    </w:rPr>
  </w:style>
  <w:style w:type="paragraph" w:styleId="Footer">
    <w:name w:val="footer"/>
    <w:basedOn w:val="Normal"/>
    <w:link w:val="FooterChar"/>
    <w:uiPriority w:val="99"/>
    <w:unhideWhenUsed/>
    <w:rsid w:val="00F11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663"/>
    <w:rPr>
      <w:rFonts w:cs="Times New Roman"/>
    </w:rPr>
  </w:style>
  <w:style w:type="paragraph" w:styleId="FootnoteText">
    <w:name w:val="footnote text"/>
    <w:basedOn w:val="Normal"/>
    <w:link w:val="FootnoteTextChar"/>
    <w:uiPriority w:val="99"/>
    <w:unhideWhenUsed/>
    <w:rsid w:val="004C0908"/>
    <w:pPr>
      <w:spacing w:after="0" w:line="240" w:lineRule="auto"/>
    </w:pPr>
    <w:rPr>
      <w:sz w:val="20"/>
      <w:szCs w:val="20"/>
    </w:rPr>
  </w:style>
  <w:style w:type="character" w:customStyle="1" w:styleId="FootnoteTextChar">
    <w:name w:val="Footnote Text Char"/>
    <w:basedOn w:val="DefaultParagraphFont"/>
    <w:link w:val="FootnoteText"/>
    <w:uiPriority w:val="99"/>
    <w:rsid w:val="004C0908"/>
    <w:rPr>
      <w:rFonts w:cs="Times New Roman"/>
      <w:sz w:val="20"/>
      <w:szCs w:val="20"/>
    </w:rPr>
  </w:style>
  <w:style w:type="character" w:styleId="FootnoteReference">
    <w:name w:val="footnote reference"/>
    <w:basedOn w:val="DefaultParagraphFont"/>
    <w:uiPriority w:val="99"/>
    <w:unhideWhenUsed/>
    <w:rsid w:val="004C0908"/>
    <w:rPr>
      <w:rFonts w:cs="Times New Roman"/>
      <w:vertAlign w:val="superscript"/>
    </w:rPr>
  </w:style>
  <w:style w:type="character" w:styleId="Strong">
    <w:name w:val="Strong"/>
    <w:basedOn w:val="DefaultParagraphFont"/>
    <w:uiPriority w:val="22"/>
    <w:qFormat/>
    <w:rsid w:val="00547523"/>
    <w:rPr>
      <w:rFonts w:cs="Times New Roman"/>
      <w:b/>
      <w:bCs/>
    </w:rPr>
  </w:style>
  <w:style w:type="paragraph" w:styleId="NormalWeb">
    <w:name w:val="Normal (Web)"/>
    <w:basedOn w:val="Normal"/>
    <w:uiPriority w:val="99"/>
    <w:unhideWhenUsed/>
    <w:rsid w:val="00B76161"/>
    <w:pPr>
      <w:spacing w:before="100" w:beforeAutospacing="1" w:after="100" w:afterAutospacing="1" w:line="240" w:lineRule="auto"/>
    </w:pPr>
    <w:rPr>
      <w:rFonts w:ascii="Times New Roman" w:hAnsi="Times New Roman"/>
      <w:kern w:val="0"/>
      <w:lang w:eastAsia="en-ZA"/>
    </w:rPr>
  </w:style>
  <w:style w:type="paragraph" w:customStyle="1" w:styleId="QUOTATION">
    <w:name w:val="QUOTATION"/>
    <w:basedOn w:val="Normal"/>
    <w:link w:val="QUOTATIONChar"/>
    <w:uiPriority w:val="99"/>
    <w:rsid w:val="00275EB8"/>
    <w:pPr>
      <w:spacing w:after="0" w:line="360" w:lineRule="auto"/>
      <w:ind w:left="720" w:right="720"/>
      <w:jc w:val="both"/>
    </w:pPr>
    <w:rPr>
      <w:rFonts w:ascii="Times New Roman" w:hAnsi="Times New Roman"/>
      <w:kern w:val="0"/>
      <w:sz w:val="22"/>
      <w:szCs w:val="22"/>
      <w:lang w:eastAsia="en-ZA"/>
    </w:rPr>
  </w:style>
  <w:style w:type="paragraph" w:customStyle="1" w:styleId="JUGMENTNUMBERED">
    <w:name w:val="JUGMENT NUMBERED"/>
    <w:basedOn w:val="Normal"/>
    <w:uiPriority w:val="99"/>
    <w:rsid w:val="00275EB8"/>
    <w:pPr>
      <w:numPr>
        <w:numId w:val="1"/>
      </w:numPr>
      <w:spacing w:after="0" w:line="480" w:lineRule="auto"/>
      <w:jc w:val="both"/>
    </w:pPr>
    <w:rPr>
      <w:rFonts w:ascii="Times New Roman" w:hAnsi="Times New Roman"/>
      <w:kern w:val="0"/>
      <w:sz w:val="26"/>
      <w:szCs w:val="26"/>
      <w:lang w:eastAsia="en-ZA"/>
    </w:rPr>
  </w:style>
  <w:style w:type="character" w:customStyle="1" w:styleId="QUOTATIONChar">
    <w:name w:val="QUOTATION Char"/>
    <w:basedOn w:val="DefaultParagraphFont"/>
    <w:link w:val="QUOTATION"/>
    <w:uiPriority w:val="99"/>
    <w:locked/>
    <w:rsid w:val="00275EB8"/>
    <w:rPr>
      <w:rFonts w:ascii="Times New Roman" w:hAnsi="Times New Roman" w:cs="Times New Roman"/>
      <w:kern w:val="0"/>
      <w:sz w:val="22"/>
      <w:szCs w:val="22"/>
      <w:lang w:val="x-none" w:eastAsia="en-ZA"/>
    </w:rPr>
  </w:style>
  <w:style w:type="paragraph" w:customStyle="1" w:styleId="Judgementnumbering">
    <w:name w:val="Judgement numbering"/>
    <w:basedOn w:val="Normal"/>
    <w:qFormat/>
    <w:rsid w:val="00A106B6"/>
    <w:pPr>
      <w:numPr>
        <w:numId w:val="2"/>
      </w:numPr>
      <w:spacing w:before="120" w:after="120" w:line="360" w:lineRule="auto"/>
      <w:jc w:val="both"/>
    </w:pPr>
    <w:rPr>
      <w:rFonts w:ascii="Arial" w:hAnsi="Arial"/>
      <w:kern w:val="0"/>
      <w:szCs w:val="20"/>
    </w:rPr>
  </w:style>
  <w:style w:type="paragraph" w:customStyle="1" w:styleId="listing-level2">
    <w:name w:val="listing - level 2"/>
    <w:basedOn w:val="Judgementnumbering"/>
    <w:qFormat/>
    <w:rsid w:val="00A106B6"/>
    <w:pPr>
      <w:numPr>
        <w:ilvl w:val="1"/>
      </w:numPr>
    </w:pPr>
  </w:style>
  <w:style w:type="paragraph" w:customStyle="1" w:styleId="listing-level3">
    <w:name w:val="listing - level 3"/>
    <w:basedOn w:val="Judgementnumbering"/>
    <w:qFormat/>
    <w:rsid w:val="00A106B6"/>
    <w:pPr>
      <w:numPr>
        <w:ilvl w:val="2"/>
      </w:numPr>
    </w:pPr>
  </w:style>
  <w:style w:type="character" w:styleId="Emphasis">
    <w:name w:val="Emphasis"/>
    <w:basedOn w:val="DefaultParagraphFont"/>
    <w:uiPriority w:val="20"/>
    <w:qFormat/>
    <w:rsid w:val="00CD18D8"/>
    <w:rPr>
      <w:rFonts w:cs="Times New Roman"/>
      <w:i/>
      <w:iCs/>
    </w:rPr>
  </w:style>
  <w:style w:type="paragraph" w:styleId="z-TopofForm">
    <w:name w:val="HTML Top of Form"/>
    <w:basedOn w:val="Normal"/>
    <w:next w:val="Normal"/>
    <w:link w:val="z-TopofFormChar"/>
    <w:hidden/>
    <w:uiPriority w:val="99"/>
    <w:semiHidden/>
    <w:unhideWhenUsed/>
    <w:rsid w:val="006A1132"/>
    <w:pPr>
      <w:pBdr>
        <w:bottom w:val="single" w:sz="6" w:space="1" w:color="auto"/>
      </w:pBdr>
      <w:spacing w:after="0" w:line="240" w:lineRule="auto"/>
      <w:jc w:val="center"/>
    </w:pPr>
    <w:rPr>
      <w:rFonts w:ascii="Arial" w:hAnsi="Arial" w:cs="Arial"/>
      <w:vanish/>
      <w:kern w:val="0"/>
      <w:sz w:val="16"/>
      <w:szCs w:val="16"/>
      <w:lang w:eastAsia="en-ZA"/>
    </w:rPr>
  </w:style>
  <w:style w:type="character" w:customStyle="1" w:styleId="z-TopofFormChar">
    <w:name w:val="z-Top of Form Char"/>
    <w:basedOn w:val="DefaultParagraphFont"/>
    <w:link w:val="z-TopofForm"/>
    <w:uiPriority w:val="99"/>
    <w:semiHidden/>
    <w:rsid w:val="006A1132"/>
    <w:rPr>
      <w:rFonts w:ascii="Arial" w:hAnsi="Arial" w:cs="Arial"/>
      <w:vanish/>
      <w:kern w:val="0"/>
      <w:sz w:val="16"/>
      <w:szCs w:val="16"/>
      <w:lang w:val="x-none" w:eastAsia="en-ZA"/>
    </w:rPr>
  </w:style>
  <w:style w:type="paragraph" w:customStyle="1" w:styleId="placeholder">
    <w:name w:val="placeholder"/>
    <w:basedOn w:val="Normal"/>
    <w:rsid w:val="006A1132"/>
    <w:pPr>
      <w:spacing w:before="100" w:beforeAutospacing="1" w:after="100" w:afterAutospacing="1" w:line="240" w:lineRule="auto"/>
    </w:pPr>
    <w:rPr>
      <w:rFonts w:ascii="Times New Roman" w:hAnsi="Times New Roman"/>
      <w:kern w:val="0"/>
      <w:lang w:eastAsia="en-ZA"/>
    </w:rPr>
  </w:style>
  <w:style w:type="paragraph" w:styleId="z-BottomofForm">
    <w:name w:val="HTML Bottom of Form"/>
    <w:basedOn w:val="Normal"/>
    <w:next w:val="Normal"/>
    <w:link w:val="z-BottomofFormChar"/>
    <w:hidden/>
    <w:uiPriority w:val="99"/>
    <w:semiHidden/>
    <w:unhideWhenUsed/>
    <w:rsid w:val="006A1132"/>
    <w:pPr>
      <w:pBdr>
        <w:top w:val="single" w:sz="6" w:space="1" w:color="auto"/>
      </w:pBdr>
      <w:spacing w:after="0" w:line="240" w:lineRule="auto"/>
      <w:jc w:val="center"/>
    </w:pPr>
    <w:rPr>
      <w:rFonts w:ascii="Arial" w:hAnsi="Arial" w:cs="Arial"/>
      <w:vanish/>
      <w:kern w:val="0"/>
      <w:sz w:val="16"/>
      <w:szCs w:val="16"/>
      <w:lang w:eastAsia="en-ZA"/>
    </w:rPr>
  </w:style>
  <w:style w:type="character" w:customStyle="1" w:styleId="z-BottomofFormChar">
    <w:name w:val="z-Bottom of Form Char"/>
    <w:basedOn w:val="DefaultParagraphFont"/>
    <w:link w:val="z-BottomofForm"/>
    <w:uiPriority w:val="99"/>
    <w:semiHidden/>
    <w:rsid w:val="006A1132"/>
    <w:rPr>
      <w:rFonts w:ascii="Arial" w:hAnsi="Arial" w:cs="Arial"/>
      <w:vanish/>
      <w:kern w:val="0"/>
      <w:sz w:val="16"/>
      <w:szCs w:val="16"/>
      <w:lang w:val="x-none" w:eastAsia="en-ZA"/>
    </w:rPr>
  </w:style>
  <w:style w:type="paragraph" w:styleId="Revision">
    <w:name w:val="Revision"/>
    <w:hidden/>
    <w:uiPriority w:val="99"/>
    <w:semiHidden/>
    <w:rsid w:val="007B6026"/>
    <w:pPr>
      <w:spacing w:after="0" w:line="240" w:lineRule="auto"/>
    </w:pPr>
    <w:rPr>
      <w:rFonts w:cs="Times New Roman"/>
    </w:rPr>
  </w:style>
  <w:style w:type="character" w:styleId="CommentReference">
    <w:name w:val="annotation reference"/>
    <w:basedOn w:val="DefaultParagraphFont"/>
    <w:uiPriority w:val="99"/>
    <w:semiHidden/>
    <w:unhideWhenUsed/>
    <w:rsid w:val="00005527"/>
    <w:rPr>
      <w:rFonts w:cs="Times New Roman"/>
      <w:sz w:val="16"/>
      <w:szCs w:val="16"/>
    </w:rPr>
  </w:style>
  <w:style w:type="paragraph" w:styleId="CommentText">
    <w:name w:val="annotation text"/>
    <w:basedOn w:val="Normal"/>
    <w:link w:val="CommentTextChar"/>
    <w:uiPriority w:val="99"/>
    <w:unhideWhenUsed/>
    <w:rsid w:val="00005527"/>
    <w:pPr>
      <w:spacing w:line="240" w:lineRule="auto"/>
    </w:pPr>
    <w:rPr>
      <w:sz w:val="20"/>
      <w:szCs w:val="20"/>
    </w:rPr>
  </w:style>
  <w:style w:type="character" w:customStyle="1" w:styleId="CommentTextChar">
    <w:name w:val="Comment Text Char"/>
    <w:basedOn w:val="DefaultParagraphFont"/>
    <w:link w:val="CommentText"/>
    <w:uiPriority w:val="99"/>
    <w:rsid w:val="00005527"/>
    <w:rPr>
      <w:rFonts w:cs="Times New Roman"/>
      <w:sz w:val="20"/>
      <w:szCs w:val="20"/>
    </w:rPr>
  </w:style>
  <w:style w:type="paragraph" w:styleId="CommentSubject">
    <w:name w:val="annotation subject"/>
    <w:basedOn w:val="CommentText"/>
    <w:next w:val="CommentText"/>
    <w:link w:val="CommentSubjectChar"/>
    <w:uiPriority w:val="99"/>
    <w:semiHidden/>
    <w:unhideWhenUsed/>
    <w:rsid w:val="00005527"/>
    <w:rPr>
      <w:b/>
      <w:bCs/>
    </w:rPr>
  </w:style>
  <w:style w:type="character" w:customStyle="1" w:styleId="CommentSubjectChar">
    <w:name w:val="Comment Subject Char"/>
    <w:basedOn w:val="CommentTextChar"/>
    <w:link w:val="CommentSubject"/>
    <w:uiPriority w:val="99"/>
    <w:semiHidden/>
    <w:rsid w:val="00005527"/>
    <w:rPr>
      <w:rFonts w:cs="Times New Roman"/>
      <w:b/>
      <w:bCs/>
      <w:sz w:val="20"/>
      <w:szCs w:val="20"/>
    </w:rPr>
  </w:style>
  <w:style w:type="paragraph" w:customStyle="1" w:styleId="Pa3">
    <w:name w:val="Pa3"/>
    <w:basedOn w:val="Normal"/>
    <w:next w:val="Normal"/>
    <w:semiHidden/>
    <w:rsid w:val="00F92F0E"/>
    <w:pPr>
      <w:autoSpaceDE w:val="0"/>
      <w:autoSpaceDN w:val="0"/>
      <w:adjustRightInd w:val="0"/>
      <w:spacing w:after="0" w:line="241" w:lineRule="atLeast"/>
    </w:pPr>
    <w:rPr>
      <w:rFonts w:ascii="Arial" w:hAnsi="Arial"/>
      <w:kern w:val="0"/>
      <w:lang w:val="en-US"/>
    </w:rPr>
  </w:style>
  <w:style w:type="character" w:styleId="Hyperlink">
    <w:name w:val="Hyperlink"/>
    <w:basedOn w:val="DefaultParagraphFont"/>
    <w:uiPriority w:val="99"/>
    <w:unhideWhenUsed/>
    <w:rsid w:val="00DE554B"/>
    <w:rPr>
      <w:rFonts w:cs="Times New Roman"/>
      <w:color w:val="467886" w:themeColor="hyperlink"/>
      <w:u w:val="single"/>
    </w:rPr>
  </w:style>
  <w:style w:type="character" w:styleId="UnresolvedMention">
    <w:name w:val="Unresolved Mention"/>
    <w:basedOn w:val="DefaultParagraphFont"/>
    <w:uiPriority w:val="99"/>
    <w:semiHidden/>
    <w:unhideWhenUsed/>
    <w:rsid w:val="00DE554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ylexisnexis.co.za/Library/IframeContent.aspx?dpath=zb/jilc/kilc/turg/zurg/0urg/nn9g&amp;ismultiview=False&amp;caAu=" TargetMode="External"/><Relationship Id="rId4" Type="http://schemas.openxmlformats.org/officeDocument/2006/relationships/settings" Target="settings.xml"/><Relationship Id="rId9" Type="http://schemas.openxmlformats.org/officeDocument/2006/relationships/hyperlink" Target="https://www.mylexisnexis.co.za/Library/IframeContent.aspx?dpath=zb/jilc/kilc/turg/zurg/0urg/nn9g&amp;ismultiview=False&amp;ca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D1BF2-3FC0-4A1A-A6F5-DDD45FA5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3339</Words>
  <Characters>17533</Characters>
  <Application>Microsoft Office Word</Application>
  <DocSecurity>0</DocSecurity>
  <Lines>350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 Basson</dc:creator>
  <cp:keywords/>
  <dc:description/>
  <cp:lastModifiedBy>Sean Molony</cp:lastModifiedBy>
  <cp:revision>6</cp:revision>
  <cp:lastPrinted>2026-02-26T11:44:00Z</cp:lastPrinted>
  <dcterms:created xsi:type="dcterms:W3CDTF">2026-03-25T08:04:00Z</dcterms:created>
  <dcterms:modified xsi:type="dcterms:W3CDTF">2026-05-20T08:09:00Z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46d443b8-7c08-4174-bbd2-b5e65f476fba</vt:lpwstr>
  </property>
</Properties>
</file>